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F6" w:rsidRDefault="004D46C2" w:rsidP="00AC6040">
      <w:pPr>
        <w:spacing w:before="120"/>
        <w:jc w:val="right"/>
      </w:pPr>
      <w:bookmarkStart w:id="0" w:name="_Toc196205168"/>
      <w:bookmarkStart w:id="1" w:name="_Toc196275016"/>
      <w:r>
        <w:rPr>
          <w:bCs/>
          <w:sz w:val="24"/>
        </w:rPr>
        <w:t xml:space="preserve"> </w:t>
      </w:r>
      <w:r w:rsidR="00033585">
        <w:rPr>
          <w:bCs/>
          <w:sz w:val="24"/>
        </w:rPr>
        <w:t>«</w:t>
      </w:r>
      <w:r w:rsidR="00EC45DB">
        <w:rPr>
          <w:bCs/>
          <w:sz w:val="24"/>
        </w:rPr>
        <w:t>6</w:t>
      </w:r>
      <w:r w:rsidR="00033585">
        <w:rPr>
          <w:bCs/>
          <w:sz w:val="24"/>
        </w:rPr>
        <w:t>»</w:t>
      </w:r>
      <w:r w:rsidR="00896FF6" w:rsidRPr="00A0045D">
        <w:rPr>
          <w:bCs/>
          <w:sz w:val="24"/>
        </w:rPr>
        <w:t xml:space="preserve"> </w:t>
      </w:r>
      <w:r w:rsidR="00EC45DB">
        <w:rPr>
          <w:bCs/>
          <w:sz w:val="24"/>
        </w:rPr>
        <w:t>мая</w:t>
      </w:r>
      <w:r w:rsidR="004F15A2">
        <w:rPr>
          <w:bCs/>
          <w:sz w:val="24"/>
        </w:rPr>
        <w:t xml:space="preserve"> 2013</w:t>
      </w:r>
      <w:r w:rsidR="00896FF6" w:rsidRPr="00A0045D">
        <w:rPr>
          <w:bCs/>
          <w:sz w:val="24"/>
        </w:rPr>
        <w:t xml:space="preserve"> года </w:t>
      </w:r>
    </w:p>
    <w:p w:rsidR="00896FF6" w:rsidRPr="002A53DD" w:rsidRDefault="00896FF6" w:rsidP="00896FF6">
      <w:pPr>
        <w:pStyle w:val="2"/>
        <w:ind w:firstLine="0"/>
        <w:jc w:val="both"/>
        <w:rPr>
          <w:rFonts w:cs="Times New Roman"/>
          <w:sz w:val="24"/>
          <w:szCs w:val="24"/>
        </w:rPr>
      </w:pPr>
      <w:r w:rsidRPr="002F606F">
        <w:rPr>
          <w:rFonts w:cs="Times New Roman"/>
          <w:sz w:val="20"/>
          <w:szCs w:val="20"/>
        </w:rPr>
        <w:t xml:space="preserve">  </w:t>
      </w:r>
    </w:p>
    <w:p w:rsidR="00EC45DB" w:rsidRDefault="00F62769" w:rsidP="00F62769">
      <w:pPr>
        <w:rPr>
          <w:b/>
          <w:szCs w:val="28"/>
        </w:rPr>
      </w:pPr>
      <w:r w:rsidRPr="00974765">
        <w:rPr>
          <w:b/>
          <w:szCs w:val="28"/>
        </w:rPr>
        <w:t xml:space="preserve">«Миграционная ситуация в Республике Бурятия </w:t>
      </w:r>
    </w:p>
    <w:p w:rsidR="00F62769" w:rsidRPr="00974765" w:rsidRDefault="00F62769" w:rsidP="00F62769">
      <w:pPr>
        <w:rPr>
          <w:b/>
          <w:szCs w:val="28"/>
        </w:rPr>
      </w:pPr>
      <w:r w:rsidRPr="00974765">
        <w:rPr>
          <w:b/>
          <w:szCs w:val="28"/>
        </w:rPr>
        <w:t xml:space="preserve">в </w:t>
      </w:r>
      <w:r w:rsidR="00EC45DB">
        <w:rPr>
          <w:b/>
          <w:szCs w:val="28"/>
        </w:rPr>
        <w:t xml:space="preserve">январе-марте </w:t>
      </w:r>
      <w:r w:rsidRPr="00974765">
        <w:rPr>
          <w:b/>
          <w:szCs w:val="28"/>
        </w:rPr>
        <w:t>201</w:t>
      </w:r>
      <w:r w:rsidR="00EC45DB">
        <w:rPr>
          <w:b/>
          <w:szCs w:val="28"/>
        </w:rPr>
        <w:t>3</w:t>
      </w:r>
      <w:r w:rsidRPr="00974765">
        <w:rPr>
          <w:b/>
          <w:szCs w:val="28"/>
        </w:rPr>
        <w:t xml:space="preserve"> год</w:t>
      </w:r>
      <w:r w:rsidR="00EC45DB">
        <w:rPr>
          <w:b/>
          <w:szCs w:val="28"/>
        </w:rPr>
        <w:t>а</w:t>
      </w:r>
      <w:r w:rsidRPr="00974765">
        <w:rPr>
          <w:b/>
          <w:szCs w:val="28"/>
        </w:rPr>
        <w:t>»</w:t>
      </w:r>
    </w:p>
    <w:p w:rsidR="00F62769" w:rsidRDefault="00F62769" w:rsidP="00F62769">
      <w:pPr>
        <w:ind w:firstLine="720"/>
      </w:pPr>
    </w:p>
    <w:p w:rsidR="00EC45DB" w:rsidRDefault="00EC45DB" w:rsidP="00EC45DB">
      <w:pPr>
        <w:pStyle w:val="ae"/>
      </w:pPr>
      <w:r w:rsidRPr="00067BF6">
        <w:rPr>
          <w:szCs w:val="28"/>
        </w:rPr>
        <w:t>Численность постоянного населения республики на 1 января 2013 года</w:t>
      </w:r>
      <w:r>
        <w:rPr>
          <w:szCs w:val="28"/>
        </w:rPr>
        <w:t>,</w:t>
      </w:r>
      <w:r w:rsidRPr="00067BF6">
        <w:rPr>
          <w:szCs w:val="28"/>
        </w:rPr>
        <w:t xml:space="preserve"> составила 971,8 тыс. человек </w:t>
      </w:r>
      <w:r>
        <w:rPr>
          <w:szCs w:val="28"/>
        </w:rPr>
        <w:t xml:space="preserve">и увеличилась за год на 0,4 тыс. человек за счет естественного прироста населения. При этом </w:t>
      </w:r>
      <w:r w:rsidRPr="00BD5B54">
        <w:t xml:space="preserve">миграционная убыль в </w:t>
      </w:r>
      <w:r>
        <w:t>республике</w:t>
      </w:r>
      <w:r w:rsidRPr="00BD5B54">
        <w:t xml:space="preserve"> сохраняет устойчивый характер</w:t>
      </w:r>
      <w:r>
        <w:t xml:space="preserve"> и составила в январе-марте 2013 года 613 человек. В республику прибыло 7991 человек и выбыло 8604 человека.  </w:t>
      </w:r>
    </w:p>
    <w:p w:rsidR="00EC45DB" w:rsidRPr="00892634" w:rsidRDefault="00EC45DB" w:rsidP="00EC45DB">
      <w:pPr>
        <w:pStyle w:val="ae"/>
        <w:rPr>
          <w:szCs w:val="28"/>
        </w:rPr>
      </w:pPr>
      <w:r w:rsidRPr="00BD5B54">
        <w:t>П</w:t>
      </w:r>
      <w:r>
        <w:t>рактически</w:t>
      </w:r>
      <w:r w:rsidRPr="00BD5B54">
        <w:t xml:space="preserve"> все перемещения мигрантов (9</w:t>
      </w:r>
      <w:r>
        <w:t>9,3</w:t>
      </w:r>
      <w:r w:rsidRPr="00BD5B54">
        <w:t xml:space="preserve">%) </w:t>
      </w:r>
      <w:r>
        <w:t>Республики Бурятия</w:t>
      </w:r>
      <w:r w:rsidRPr="00BD5B54">
        <w:t xml:space="preserve"> ограничились пределами Российской Федерации. </w:t>
      </w:r>
      <w:r>
        <w:t xml:space="preserve">Большая часть из них перемещалась в пределах республики, т.е. </w:t>
      </w:r>
      <w:r w:rsidRPr="00AB40C7">
        <w:rPr>
          <w:szCs w:val="28"/>
        </w:rPr>
        <w:t>см</w:t>
      </w:r>
      <w:r w:rsidRPr="00D67A32">
        <w:rPr>
          <w:spacing w:val="-20"/>
          <w:szCs w:val="28"/>
        </w:rPr>
        <w:t>ен</w:t>
      </w:r>
      <w:r w:rsidRPr="00AB40C7">
        <w:rPr>
          <w:szCs w:val="28"/>
        </w:rPr>
        <w:t xml:space="preserve">или место жительства </w:t>
      </w:r>
      <w:r>
        <w:rPr>
          <w:szCs w:val="28"/>
        </w:rPr>
        <w:t>5510</w:t>
      </w:r>
      <w:r w:rsidRPr="00AB40C7">
        <w:rPr>
          <w:szCs w:val="28"/>
        </w:rPr>
        <w:t xml:space="preserve"> человек.</w:t>
      </w:r>
      <w:r>
        <w:rPr>
          <w:szCs w:val="28"/>
        </w:rPr>
        <w:t xml:space="preserve"> </w:t>
      </w:r>
      <w:r w:rsidRPr="00516CFD">
        <w:rPr>
          <w:szCs w:val="28"/>
        </w:rPr>
        <w:t xml:space="preserve">Положительное сальдо миграции имели </w:t>
      </w:r>
      <w:proofErr w:type="spellStart"/>
      <w:r>
        <w:rPr>
          <w:szCs w:val="28"/>
        </w:rPr>
        <w:t>Тарбагатайский</w:t>
      </w:r>
      <w:proofErr w:type="spellEnd"/>
      <w:r>
        <w:rPr>
          <w:szCs w:val="28"/>
        </w:rPr>
        <w:t xml:space="preserve"> (39,4 промилле), </w:t>
      </w:r>
      <w:proofErr w:type="spellStart"/>
      <w:r w:rsidRPr="00516CFD">
        <w:rPr>
          <w:szCs w:val="28"/>
        </w:rPr>
        <w:t>Иволгинский</w:t>
      </w:r>
      <w:proofErr w:type="spellEnd"/>
      <w:r>
        <w:rPr>
          <w:szCs w:val="28"/>
        </w:rPr>
        <w:t xml:space="preserve"> (26,1) </w:t>
      </w:r>
      <w:r w:rsidRPr="00516CFD">
        <w:rPr>
          <w:szCs w:val="28"/>
        </w:rPr>
        <w:t>районы</w:t>
      </w:r>
      <w:r>
        <w:rPr>
          <w:szCs w:val="28"/>
        </w:rPr>
        <w:t xml:space="preserve">, </w:t>
      </w:r>
      <w:r w:rsidRPr="00516CFD">
        <w:rPr>
          <w:szCs w:val="28"/>
        </w:rPr>
        <w:t>г</w:t>
      </w:r>
      <w:proofErr w:type="gramStart"/>
      <w:r w:rsidRPr="00516CFD">
        <w:rPr>
          <w:szCs w:val="28"/>
        </w:rPr>
        <w:t>.У</w:t>
      </w:r>
      <w:proofErr w:type="gramEnd"/>
      <w:r w:rsidRPr="00516CFD">
        <w:rPr>
          <w:szCs w:val="28"/>
        </w:rPr>
        <w:t>лан-Удэ</w:t>
      </w:r>
      <w:r>
        <w:rPr>
          <w:szCs w:val="28"/>
        </w:rPr>
        <w:t xml:space="preserve"> (6,5) и </w:t>
      </w:r>
      <w:proofErr w:type="spellStart"/>
      <w:r>
        <w:rPr>
          <w:szCs w:val="28"/>
        </w:rPr>
        <w:t>Заиграевский</w:t>
      </w:r>
      <w:proofErr w:type="spellEnd"/>
      <w:r>
        <w:rPr>
          <w:szCs w:val="28"/>
        </w:rPr>
        <w:t xml:space="preserve"> (0,1) район</w:t>
      </w:r>
      <w:r w:rsidRPr="00516CFD">
        <w:rPr>
          <w:szCs w:val="28"/>
        </w:rPr>
        <w:t xml:space="preserve">. </w:t>
      </w:r>
      <w:r>
        <w:rPr>
          <w:szCs w:val="28"/>
        </w:rPr>
        <w:t>В</w:t>
      </w:r>
      <w:r w:rsidRPr="00516CFD">
        <w:rPr>
          <w:szCs w:val="28"/>
        </w:rPr>
        <w:t xml:space="preserve"> </w:t>
      </w:r>
      <w:r>
        <w:rPr>
          <w:szCs w:val="28"/>
        </w:rPr>
        <w:t xml:space="preserve"> </w:t>
      </w:r>
      <w:r w:rsidRPr="00516CFD">
        <w:rPr>
          <w:szCs w:val="28"/>
        </w:rPr>
        <w:t>остальных район</w:t>
      </w:r>
      <w:r>
        <w:rPr>
          <w:szCs w:val="28"/>
        </w:rPr>
        <w:t>ах</w:t>
      </w:r>
      <w:r w:rsidRPr="00516CFD">
        <w:rPr>
          <w:szCs w:val="28"/>
        </w:rPr>
        <w:t xml:space="preserve"> и </w:t>
      </w:r>
      <w:r>
        <w:rPr>
          <w:szCs w:val="28"/>
        </w:rPr>
        <w:t xml:space="preserve"> </w:t>
      </w:r>
      <w:proofErr w:type="spellStart"/>
      <w:r w:rsidRPr="00516CFD">
        <w:rPr>
          <w:szCs w:val="28"/>
        </w:rPr>
        <w:t>г</w:t>
      </w:r>
      <w:proofErr w:type="gramStart"/>
      <w:r w:rsidRPr="00516CFD">
        <w:rPr>
          <w:szCs w:val="28"/>
        </w:rPr>
        <w:t>.С</w:t>
      </w:r>
      <w:proofErr w:type="gramEnd"/>
      <w:r w:rsidRPr="00516CFD">
        <w:rPr>
          <w:szCs w:val="28"/>
        </w:rPr>
        <w:t>еверобайкальск</w:t>
      </w:r>
      <w:proofErr w:type="spellEnd"/>
      <w:r w:rsidRPr="00516CFD">
        <w:rPr>
          <w:szCs w:val="28"/>
        </w:rPr>
        <w:t xml:space="preserve"> происходил отток </w:t>
      </w:r>
      <w:r>
        <w:rPr>
          <w:szCs w:val="28"/>
        </w:rPr>
        <w:t xml:space="preserve"> </w:t>
      </w:r>
      <w:r w:rsidRPr="00516CFD">
        <w:rPr>
          <w:szCs w:val="28"/>
        </w:rPr>
        <w:t>населения.</w:t>
      </w:r>
      <w:r w:rsidRPr="003D6434">
        <w:rPr>
          <w:szCs w:val="28"/>
        </w:rPr>
        <w:t xml:space="preserve"> </w:t>
      </w:r>
      <w:r w:rsidR="006074F4">
        <w:rPr>
          <w:szCs w:val="28"/>
        </w:rPr>
        <w:t>В</w:t>
      </w:r>
      <w:r>
        <w:rPr>
          <w:szCs w:val="28"/>
        </w:rPr>
        <w:t xml:space="preserve">ысокий </w:t>
      </w:r>
      <w:r w:rsidR="006074F4">
        <w:rPr>
          <w:szCs w:val="28"/>
        </w:rPr>
        <w:t>отток</w:t>
      </w:r>
      <w:r>
        <w:rPr>
          <w:szCs w:val="28"/>
        </w:rPr>
        <w:t xml:space="preserve"> отмечен в </w:t>
      </w:r>
      <w:proofErr w:type="spellStart"/>
      <w:r>
        <w:rPr>
          <w:szCs w:val="28"/>
        </w:rPr>
        <w:t>Муйском</w:t>
      </w:r>
      <w:proofErr w:type="spellEnd"/>
      <w:r>
        <w:rPr>
          <w:szCs w:val="28"/>
        </w:rPr>
        <w:t xml:space="preserve"> (-62,2 промилле), </w:t>
      </w:r>
      <w:proofErr w:type="spellStart"/>
      <w:r>
        <w:rPr>
          <w:szCs w:val="28"/>
        </w:rPr>
        <w:t>Джидинском</w:t>
      </w:r>
      <w:proofErr w:type="spellEnd"/>
      <w:r>
        <w:rPr>
          <w:szCs w:val="28"/>
        </w:rPr>
        <w:t xml:space="preserve"> (-31,5), </w:t>
      </w:r>
      <w:proofErr w:type="spellStart"/>
      <w:r>
        <w:rPr>
          <w:szCs w:val="28"/>
        </w:rPr>
        <w:t>Селенгинском</w:t>
      </w:r>
      <w:proofErr w:type="spellEnd"/>
      <w:r>
        <w:rPr>
          <w:szCs w:val="28"/>
        </w:rPr>
        <w:t xml:space="preserve"> (-22,1)  и </w:t>
      </w:r>
      <w:proofErr w:type="spellStart"/>
      <w:r>
        <w:rPr>
          <w:szCs w:val="28"/>
        </w:rPr>
        <w:t>Курумканском</w:t>
      </w:r>
      <w:proofErr w:type="spellEnd"/>
      <w:r>
        <w:rPr>
          <w:szCs w:val="28"/>
        </w:rPr>
        <w:t xml:space="preserve"> (-22,0 промилле) районах. Из районов, приравненных к Крайнему Северу республики, миграционный отток составил 466 человек.</w:t>
      </w:r>
      <w:r>
        <w:t xml:space="preserve">  </w:t>
      </w:r>
    </w:p>
    <w:p w:rsidR="00EC45DB" w:rsidRPr="00AB40C7" w:rsidRDefault="00EC45DB" w:rsidP="00EC45DB">
      <w:pPr>
        <w:pStyle w:val="ae"/>
      </w:pPr>
      <w:r>
        <w:rPr>
          <w:szCs w:val="28"/>
        </w:rPr>
        <w:t>М</w:t>
      </w:r>
      <w:r w:rsidRPr="00AB40C7">
        <w:rPr>
          <w:szCs w:val="28"/>
        </w:rPr>
        <w:t>ежрегиональные миграционные процессы в общем объеме миграционных потоков республики составил</w:t>
      </w:r>
      <w:r>
        <w:rPr>
          <w:szCs w:val="28"/>
        </w:rPr>
        <w:t>и 32,9</w:t>
      </w:r>
      <w:r w:rsidRPr="00AB40C7">
        <w:rPr>
          <w:szCs w:val="28"/>
        </w:rPr>
        <w:t>%.</w:t>
      </w:r>
      <w:r w:rsidRPr="00AB40C7">
        <w:t xml:space="preserve"> </w:t>
      </w:r>
      <w:r w:rsidRPr="00516CFD">
        <w:rPr>
          <w:szCs w:val="28"/>
        </w:rPr>
        <w:t>Из других регионов России в республику прибы</w:t>
      </w:r>
      <w:r>
        <w:rPr>
          <w:szCs w:val="28"/>
        </w:rPr>
        <w:t xml:space="preserve">ло 2384 </w:t>
      </w:r>
      <w:r w:rsidRPr="00516CFD">
        <w:rPr>
          <w:szCs w:val="28"/>
        </w:rPr>
        <w:t>и выбыло</w:t>
      </w:r>
      <w:r>
        <w:rPr>
          <w:szCs w:val="28"/>
        </w:rPr>
        <w:t xml:space="preserve"> 3076 </w:t>
      </w:r>
      <w:r w:rsidRPr="00516CFD">
        <w:rPr>
          <w:szCs w:val="28"/>
        </w:rPr>
        <w:t xml:space="preserve">человек. </w:t>
      </w:r>
      <w:r w:rsidRPr="00AB40C7">
        <w:t xml:space="preserve">Среди российских территорий, принявших в </w:t>
      </w:r>
      <w:r>
        <w:t>январе-марте</w:t>
      </w:r>
      <w:r w:rsidRPr="00AB40C7">
        <w:t xml:space="preserve"> наибольшее число мигрантов из</w:t>
      </w:r>
      <w:r>
        <w:t xml:space="preserve"> Республики Бурятия</w:t>
      </w:r>
      <w:r w:rsidRPr="00AB40C7">
        <w:t xml:space="preserve">, лидирует </w:t>
      </w:r>
      <w:r>
        <w:t xml:space="preserve">Центральный </w:t>
      </w:r>
      <w:r w:rsidRPr="00AB40C7">
        <w:t xml:space="preserve">федеральный округ </w:t>
      </w:r>
      <w:r>
        <w:t>(</w:t>
      </w:r>
      <w:r>
        <w:rPr>
          <w:szCs w:val="28"/>
        </w:rPr>
        <w:t>278 человек, или 45%</w:t>
      </w:r>
      <w:r w:rsidRPr="00901D2F">
        <w:t xml:space="preserve"> </w:t>
      </w:r>
      <w:r>
        <w:t>в миграционном оттоке</w:t>
      </w:r>
      <w:r>
        <w:rPr>
          <w:szCs w:val="28"/>
        </w:rPr>
        <w:t xml:space="preserve">), из них в Москву и Московскую область - 250 человек. </w:t>
      </w:r>
      <w:r w:rsidRPr="00D94C17">
        <w:rPr>
          <w:szCs w:val="28"/>
        </w:rPr>
        <w:t xml:space="preserve">Республика </w:t>
      </w:r>
      <w:r>
        <w:rPr>
          <w:szCs w:val="28"/>
        </w:rPr>
        <w:t xml:space="preserve">также </w:t>
      </w:r>
      <w:r w:rsidRPr="00D94C17">
        <w:rPr>
          <w:szCs w:val="28"/>
        </w:rPr>
        <w:t>с</w:t>
      </w:r>
      <w:r w:rsidRPr="00D94C17">
        <w:t>табильно теряет население в миграционном обмене</w:t>
      </w:r>
      <w:r>
        <w:t xml:space="preserve"> с регионами Сибирского</w:t>
      </w:r>
      <w:r w:rsidRPr="00AB40C7">
        <w:t xml:space="preserve"> федеральн</w:t>
      </w:r>
      <w:r>
        <w:t>ого</w:t>
      </w:r>
      <w:r w:rsidRPr="00AB40C7">
        <w:t xml:space="preserve"> округ</w:t>
      </w:r>
      <w:r>
        <w:t>а</w:t>
      </w:r>
      <w:r w:rsidRPr="00AB40C7">
        <w:t xml:space="preserve"> (</w:t>
      </w:r>
      <w:r>
        <w:t>261 человек, или 43</w:t>
      </w:r>
      <w:r w:rsidRPr="00AB40C7">
        <w:t>%)</w:t>
      </w:r>
      <w:r>
        <w:t xml:space="preserve">, </w:t>
      </w:r>
      <w:r>
        <w:rPr>
          <w:szCs w:val="28"/>
        </w:rPr>
        <w:t xml:space="preserve">в том числе в Иркутскую область - 294, Новосибирскую - 136 и Красноярский край - 93 человека. При этом </w:t>
      </w:r>
      <w:r w:rsidRPr="00746AA9">
        <w:rPr>
          <w:szCs w:val="28"/>
        </w:rPr>
        <w:t xml:space="preserve">население республики пополнилось за счет жителей Забайкальского края на </w:t>
      </w:r>
      <w:r>
        <w:rPr>
          <w:szCs w:val="28"/>
        </w:rPr>
        <w:t>328</w:t>
      </w:r>
      <w:r w:rsidRPr="00746AA9">
        <w:rPr>
          <w:szCs w:val="28"/>
        </w:rPr>
        <w:t xml:space="preserve"> человек</w:t>
      </w:r>
      <w:r>
        <w:rPr>
          <w:szCs w:val="28"/>
        </w:rPr>
        <w:t>.</w:t>
      </w:r>
    </w:p>
    <w:p w:rsidR="00EC45DB" w:rsidRPr="00516CFD" w:rsidRDefault="00EC45DB" w:rsidP="00EC45DB">
      <w:pPr>
        <w:pStyle w:val="ae"/>
      </w:pPr>
      <w:r>
        <w:t>В</w:t>
      </w:r>
      <w:r w:rsidRPr="00355E07">
        <w:t xml:space="preserve"> структуре миграционных связей </w:t>
      </w:r>
      <w:r>
        <w:t>республики</w:t>
      </w:r>
      <w:r w:rsidRPr="00355E07">
        <w:t xml:space="preserve"> международная миграция составила </w:t>
      </w:r>
      <w:r>
        <w:t>0,7</w:t>
      </w:r>
      <w:r w:rsidRPr="00355E07">
        <w:t xml:space="preserve">%. Наиболее тесные миграционные связи традиционно сложились у </w:t>
      </w:r>
      <w:r>
        <w:t xml:space="preserve">республики </w:t>
      </w:r>
      <w:r w:rsidRPr="00355E07">
        <w:t>с</w:t>
      </w:r>
      <w:r>
        <w:t>о странами СНГ</w:t>
      </w:r>
      <w:r w:rsidRPr="00355E07">
        <w:t xml:space="preserve">. В </w:t>
      </w:r>
      <w:r>
        <w:t>январе-марте 2013 года</w:t>
      </w:r>
      <w:r w:rsidRPr="00355E07">
        <w:t xml:space="preserve"> </w:t>
      </w:r>
      <w:r>
        <w:t>81</w:t>
      </w:r>
      <w:r w:rsidRPr="00355E07">
        <w:t xml:space="preserve">% прибывших и </w:t>
      </w:r>
      <w:r>
        <w:t>44</w:t>
      </w:r>
      <w:r w:rsidRPr="00355E07">
        <w:t>% выбывших международных мигрантов приходилось на данные страны.</w:t>
      </w:r>
      <w:r w:rsidRPr="00BE00C5">
        <w:t xml:space="preserve"> </w:t>
      </w:r>
      <w:r>
        <w:t>Всего по международной миграции прибыло 97 и выбыло 18 человек</w:t>
      </w:r>
      <w:r w:rsidRPr="00516CFD">
        <w:t xml:space="preserve">, прирост составил </w:t>
      </w:r>
      <w:r>
        <w:t xml:space="preserve">79 </w:t>
      </w:r>
      <w:r w:rsidRPr="00516CFD">
        <w:t>человек.</w:t>
      </w: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237293" w:rsidRPr="004D34DD" w:rsidRDefault="00237293" w:rsidP="00EC45DB">
      <w:pPr>
        <w:ind w:firstLine="708"/>
        <w:jc w:val="center"/>
        <w:rPr>
          <w:b/>
        </w:rPr>
      </w:pPr>
    </w:p>
    <w:p w:rsidR="00EC45DB" w:rsidRDefault="00EC45DB" w:rsidP="00EC45DB">
      <w:pPr>
        <w:ind w:firstLine="708"/>
        <w:jc w:val="center"/>
        <w:rPr>
          <w:b/>
        </w:rPr>
      </w:pPr>
      <w:r>
        <w:rPr>
          <w:b/>
        </w:rPr>
        <w:lastRenderedPageBreak/>
        <w:t>Миграционная активность по муниципальным районам</w:t>
      </w:r>
    </w:p>
    <w:p w:rsidR="00EC45DB" w:rsidRDefault="00EC45DB" w:rsidP="00EC45DB">
      <w:pPr>
        <w:ind w:firstLine="708"/>
        <w:jc w:val="center"/>
        <w:rPr>
          <w:b/>
        </w:rPr>
      </w:pPr>
      <w:r>
        <w:rPr>
          <w:b/>
        </w:rPr>
        <w:t>Республики Бурятия в январе-марте 2013 года</w:t>
      </w:r>
    </w:p>
    <w:p w:rsidR="00EC45DB" w:rsidRDefault="00EC45DB" w:rsidP="00EC45DB">
      <w:pPr>
        <w:ind w:firstLine="0"/>
        <w:jc w:val="center"/>
        <w:rPr>
          <w:b/>
        </w:rPr>
      </w:pPr>
      <w:r w:rsidRPr="005857AB">
        <w:rPr>
          <w:b/>
          <w:noProof/>
        </w:rPr>
        <w:drawing>
          <wp:inline distT="0" distB="0" distL="0" distR="0">
            <wp:extent cx="6115050" cy="4524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45DB" w:rsidRPr="004D34DD" w:rsidRDefault="00EC45DB" w:rsidP="00EC45DB">
      <w:pPr>
        <w:pStyle w:val="ae"/>
      </w:pPr>
      <w:r>
        <w:t xml:space="preserve">В целом по Республике Бурятия совершено 16595 передвижений, включая </w:t>
      </w:r>
      <w:proofErr w:type="spellStart"/>
      <w:r>
        <w:t>внутрирегиональную</w:t>
      </w:r>
      <w:proofErr w:type="spellEnd"/>
      <w:r>
        <w:t xml:space="preserve"> миграцию. Из 7991 прибывших зарегистрированы по месту жительства 5125 человек, по месту пребывания – 1811 и возвратились после временного пребывания на другой территории 1055 человек. Число в</w:t>
      </w:r>
      <w:r w:rsidRPr="005F020F">
        <w:t>ыбы</w:t>
      </w:r>
      <w:r>
        <w:t xml:space="preserve">вших составило 8604 </w:t>
      </w:r>
      <w:r w:rsidRPr="005F020F">
        <w:t>человек</w:t>
      </w:r>
      <w:r>
        <w:t>а, в том числе снято с регистрационного учета по прежнему месту жительства 5698, на срок более 9 месяцев - 1978 и выбыли на временное пребывание в другие территории 928 человек</w:t>
      </w:r>
      <w:r w:rsidRPr="005F020F">
        <w:t xml:space="preserve">. </w:t>
      </w: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237293" w:rsidRPr="004D34DD" w:rsidRDefault="00237293" w:rsidP="00EC45DB">
      <w:pPr>
        <w:pStyle w:val="ae"/>
      </w:pPr>
    </w:p>
    <w:p w:rsidR="00EC45DB" w:rsidRPr="00991DA2" w:rsidRDefault="00EC45DB" w:rsidP="00EC45DB">
      <w:pPr>
        <w:pStyle w:val="ae"/>
        <w:suppressAutoHyphens/>
        <w:spacing w:after="0"/>
        <w:ind w:right="-144"/>
        <w:jc w:val="right"/>
      </w:pPr>
      <w:r>
        <w:rPr>
          <w:sz w:val="24"/>
        </w:rPr>
        <w:lastRenderedPageBreak/>
        <w:t>(</w:t>
      </w:r>
      <w:r w:rsidRPr="00CE5D48">
        <w:rPr>
          <w:sz w:val="24"/>
        </w:rPr>
        <w:t>человек</w:t>
      </w:r>
      <w:r>
        <w:rPr>
          <w:sz w:val="24"/>
        </w:rPr>
        <w:t>)</w:t>
      </w:r>
    </w:p>
    <w:tbl>
      <w:tblPr>
        <w:tblStyle w:val="af0"/>
        <w:tblW w:w="5000" w:type="pct"/>
        <w:tblLook w:val="0000"/>
      </w:tblPr>
      <w:tblGrid>
        <w:gridCol w:w="3163"/>
        <w:gridCol w:w="1643"/>
        <w:gridCol w:w="1835"/>
        <w:gridCol w:w="1531"/>
        <w:gridCol w:w="1681"/>
      </w:tblGrid>
      <w:tr w:rsidR="00EC45DB" w:rsidTr="00237293">
        <w:trPr>
          <w:trHeight w:val="904"/>
        </w:trPr>
        <w:tc>
          <w:tcPr>
            <w:tcW w:w="1605" w:type="pct"/>
            <w:vMerge w:val="restart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</w:pPr>
          </w:p>
        </w:tc>
        <w:tc>
          <w:tcPr>
            <w:tcW w:w="1765" w:type="pct"/>
            <w:gridSpan w:val="2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  <w:u w:val="single"/>
              </w:rPr>
            </w:pPr>
            <w:r w:rsidRPr="009B270F">
              <w:rPr>
                <w:i/>
                <w:iCs/>
              </w:rPr>
              <w:t>Январь</w:t>
            </w:r>
            <w:r>
              <w:rPr>
                <w:i/>
                <w:iCs/>
              </w:rPr>
              <w:t>-март 2013</w:t>
            </w:r>
            <w:r w:rsidRPr="009B270F">
              <w:rPr>
                <w:i/>
                <w:iCs/>
              </w:rPr>
              <w:t>г.</w:t>
            </w:r>
          </w:p>
        </w:tc>
        <w:tc>
          <w:tcPr>
            <w:tcW w:w="1630" w:type="pct"/>
            <w:gridSpan w:val="2"/>
          </w:tcPr>
          <w:p w:rsidR="00EC45DB" w:rsidRPr="003C3E50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b/>
                <w:i/>
                <w:iCs/>
              </w:rPr>
            </w:pPr>
            <w:proofErr w:type="spellStart"/>
            <w:r w:rsidRPr="003C3E50">
              <w:rPr>
                <w:b/>
                <w:i/>
                <w:iCs/>
              </w:rPr>
              <w:t>Справочно</w:t>
            </w:r>
            <w:proofErr w:type="spellEnd"/>
          </w:p>
          <w:p w:rsidR="00EC45DB" w:rsidRPr="009B270F" w:rsidRDefault="00EC45DB" w:rsidP="00DE476D">
            <w:pPr>
              <w:pStyle w:val="12"/>
              <w:suppressAutoHyphens/>
              <w:spacing w:after="4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я</w:t>
            </w:r>
            <w:r w:rsidRPr="009B270F">
              <w:rPr>
                <w:i/>
                <w:iCs/>
              </w:rPr>
              <w:t>нварь</w:t>
            </w:r>
            <w:r>
              <w:rPr>
                <w:i/>
                <w:iCs/>
              </w:rPr>
              <w:t>-март 2012</w:t>
            </w:r>
            <w:r w:rsidRPr="009B270F">
              <w:rPr>
                <w:i/>
                <w:iCs/>
              </w:rPr>
              <w:t>г.</w:t>
            </w:r>
          </w:p>
        </w:tc>
      </w:tr>
      <w:tr w:rsidR="00EC45DB" w:rsidTr="00237293">
        <w:trPr>
          <w:trHeight w:val="991"/>
        </w:trPr>
        <w:tc>
          <w:tcPr>
            <w:tcW w:w="1605" w:type="pct"/>
            <w:vMerge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</w:pPr>
          </w:p>
        </w:tc>
        <w:tc>
          <w:tcPr>
            <w:tcW w:w="834" w:type="pct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</w:t>
            </w:r>
            <w:r w:rsidRPr="009B270F">
              <w:rPr>
                <w:i/>
                <w:iCs/>
              </w:rPr>
              <w:t>еловек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на 10000</w:t>
            </w:r>
          </w:p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человек</w:t>
            </w:r>
          </w:p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населения</w:t>
            </w:r>
          </w:p>
        </w:tc>
        <w:tc>
          <w:tcPr>
            <w:tcW w:w="777" w:type="pct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человек</w:t>
            </w:r>
          </w:p>
        </w:tc>
        <w:tc>
          <w:tcPr>
            <w:tcW w:w="853" w:type="pct"/>
          </w:tcPr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на 10000</w:t>
            </w:r>
          </w:p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человек</w:t>
            </w:r>
          </w:p>
          <w:p w:rsidR="00EC45DB" w:rsidRPr="009B270F" w:rsidRDefault="00EC45DB" w:rsidP="00DE476D">
            <w:pPr>
              <w:pStyle w:val="12"/>
              <w:suppressAutoHyphens/>
              <w:spacing w:line="240" w:lineRule="exact"/>
              <w:jc w:val="center"/>
              <w:rPr>
                <w:i/>
                <w:iCs/>
              </w:rPr>
            </w:pPr>
            <w:r w:rsidRPr="009B270F">
              <w:rPr>
                <w:i/>
                <w:iCs/>
              </w:rPr>
              <w:t>населения</w:t>
            </w:r>
          </w:p>
        </w:tc>
      </w:tr>
      <w:tr w:rsidR="00EC45DB" w:rsidTr="00237293">
        <w:trPr>
          <w:trHeight w:val="397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rPr>
                <w:b/>
                <w:bCs/>
              </w:rPr>
            </w:pPr>
            <w:r w:rsidRPr="009B270F">
              <w:rPr>
                <w:b/>
                <w:bCs/>
              </w:rPr>
              <w:t>Миграция – всего</w:t>
            </w:r>
          </w:p>
        </w:tc>
        <w:tc>
          <w:tcPr>
            <w:tcW w:w="834" w:type="pct"/>
          </w:tcPr>
          <w:p w:rsidR="00EC45DB" w:rsidRPr="00521172" w:rsidRDefault="00EC45DB" w:rsidP="00DE476D">
            <w:pPr>
              <w:suppressAutoHyphens/>
              <w:jc w:val="center"/>
              <w:rPr>
                <w:rFonts w:eastAsia="Arial Unicode MS"/>
                <w:sz w:val="24"/>
                <w:lang w:val="en-US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170"/>
              <w:jc w:val="right"/>
              <w:rPr>
                <w:rFonts w:eastAsia="Arial Unicode MS"/>
                <w:sz w:val="24"/>
              </w:rPr>
            </w:pPr>
            <w:r w:rsidRPr="009B270F">
              <w:rPr>
                <w:sz w:val="24"/>
              </w:rPr>
              <w:t> </w:t>
            </w:r>
          </w:p>
        </w:tc>
        <w:tc>
          <w:tcPr>
            <w:tcW w:w="777" w:type="pct"/>
          </w:tcPr>
          <w:p w:rsidR="00EC45DB" w:rsidRPr="00AE3662" w:rsidRDefault="00EC45DB" w:rsidP="00DE476D">
            <w:pPr>
              <w:suppressAutoHyphens/>
              <w:ind w:right="227"/>
              <w:jc w:val="right"/>
              <w:rPr>
                <w:rFonts w:eastAsia="Arial Unicode MS"/>
                <w:sz w:val="24"/>
                <w:lang w:val="en-US"/>
              </w:rPr>
            </w:pPr>
          </w:p>
        </w:tc>
        <w:tc>
          <w:tcPr>
            <w:tcW w:w="853" w:type="pct"/>
          </w:tcPr>
          <w:p w:rsidR="00EC45DB" w:rsidRPr="009B270F" w:rsidRDefault="00EC45DB" w:rsidP="00DE476D">
            <w:pPr>
              <w:suppressAutoHyphens/>
              <w:ind w:right="227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97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7991</w:t>
            </w:r>
          </w:p>
        </w:tc>
        <w:tc>
          <w:tcPr>
            <w:tcW w:w="931" w:type="pct"/>
          </w:tcPr>
          <w:p w:rsidR="00EC45DB" w:rsidRPr="00194B8B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333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2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7759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321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1</w:t>
            </w:r>
          </w:p>
        </w:tc>
      </w:tr>
      <w:tr w:rsidR="00EC45DB" w:rsidTr="00237293">
        <w:trPr>
          <w:trHeight w:val="397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8604</w:t>
            </w:r>
          </w:p>
        </w:tc>
        <w:tc>
          <w:tcPr>
            <w:tcW w:w="931" w:type="pct"/>
          </w:tcPr>
          <w:p w:rsidR="00EC45DB" w:rsidRPr="00194B8B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358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8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8343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345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3</w:t>
            </w:r>
          </w:p>
        </w:tc>
      </w:tr>
      <w:tr w:rsidR="00EC45DB" w:rsidTr="00237293">
        <w:trPr>
          <w:trHeight w:val="397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-613</w:t>
            </w:r>
          </w:p>
        </w:tc>
        <w:tc>
          <w:tcPr>
            <w:tcW w:w="931" w:type="pct"/>
          </w:tcPr>
          <w:p w:rsidR="00EC45DB" w:rsidRPr="00194B8B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-25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6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-584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-24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2</w:t>
            </w:r>
          </w:p>
        </w:tc>
      </w:tr>
      <w:tr w:rsidR="00EC45DB" w:rsidTr="00237293">
        <w:trPr>
          <w:trHeight w:val="397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</w:pPr>
            <w:r w:rsidRPr="009B270F">
              <w:t xml:space="preserve">    в том числе:</w:t>
            </w:r>
          </w:p>
        </w:tc>
        <w:tc>
          <w:tcPr>
            <w:tcW w:w="834" w:type="pct"/>
          </w:tcPr>
          <w:p w:rsidR="00EC45DB" w:rsidRPr="009B270F" w:rsidRDefault="00EC45DB" w:rsidP="00DE476D">
            <w:pPr>
              <w:suppressAutoHyphens/>
              <w:ind w:right="288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DE476D">
            <w:pPr>
              <w:suppressAutoHyphens/>
              <w:ind w:right="31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DE476D">
            <w:pPr>
              <w:suppressAutoHyphens/>
              <w:ind w:right="330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rPr>
                <w:b/>
                <w:bCs/>
              </w:rPr>
            </w:pPr>
            <w:r w:rsidRPr="009B270F">
              <w:rPr>
                <w:b/>
                <w:bCs/>
              </w:rPr>
              <w:t>1.В пределах России</w:t>
            </w:r>
          </w:p>
        </w:tc>
        <w:tc>
          <w:tcPr>
            <w:tcW w:w="834" w:type="pct"/>
          </w:tcPr>
          <w:p w:rsidR="00EC45DB" w:rsidRPr="009B270F" w:rsidRDefault="00EC45DB" w:rsidP="00DE476D">
            <w:pPr>
              <w:suppressAutoHyphens/>
              <w:ind w:right="288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DE476D">
            <w:pPr>
              <w:suppressAutoHyphens/>
              <w:ind w:right="31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DE476D">
            <w:pPr>
              <w:suppressAutoHyphens/>
              <w:ind w:right="330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7894</w:t>
            </w:r>
          </w:p>
        </w:tc>
        <w:tc>
          <w:tcPr>
            <w:tcW w:w="931" w:type="pct"/>
          </w:tcPr>
          <w:p w:rsidR="00EC45DB" w:rsidRPr="00194B8B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329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2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7659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317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0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8586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358,1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8321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344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4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-692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-28,9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-662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-27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4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  <w:jc w:val="left"/>
              <w:rPr>
                <w:b/>
                <w:bCs/>
              </w:rPr>
            </w:pPr>
            <w:r w:rsidRPr="009B270F">
              <w:rPr>
                <w:b/>
                <w:bCs/>
              </w:rPr>
              <w:t>1.1.Внутрирегиональная</w:t>
            </w:r>
          </w:p>
        </w:tc>
        <w:tc>
          <w:tcPr>
            <w:tcW w:w="834" w:type="pct"/>
          </w:tcPr>
          <w:p w:rsidR="00EC45DB" w:rsidRPr="009B270F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  <w:jc w:val="left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5510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229,8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5373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222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4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  <w:jc w:val="left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5510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229,8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5373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222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4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  <w:jc w:val="left"/>
              <w:rPr>
                <w:b/>
              </w:rPr>
            </w:pPr>
            <w:r w:rsidRPr="009B270F">
              <w:rPr>
                <w:b/>
              </w:rPr>
              <w:t>1.2.Межрегиональная</w:t>
            </w:r>
          </w:p>
        </w:tc>
        <w:tc>
          <w:tcPr>
            <w:tcW w:w="834" w:type="pct"/>
          </w:tcPr>
          <w:p w:rsidR="00EC45DB" w:rsidRPr="009B270F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  <w:jc w:val="left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2384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99,4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2286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94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6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  <w:jc w:val="left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3076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128,3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2948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122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0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-692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-28,9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-662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-27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4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rPr>
                <w:b/>
                <w:bCs/>
              </w:rPr>
            </w:pPr>
            <w:r w:rsidRPr="009B270F">
              <w:rPr>
                <w:b/>
                <w:bCs/>
              </w:rPr>
              <w:t>2.Международная</w:t>
            </w:r>
          </w:p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rPr>
                <w:b/>
                <w:bCs/>
              </w:rPr>
              <w:t>миграция</w:t>
            </w:r>
          </w:p>
        </w:tc>
        <w:tc>
          <w:tcPr>
            <w:tcW w:w="834" w:type="pct"/>
          </w:tcPr>
          <w:p w:rsidR="00EC45DB" w:rsidRPr="009B270F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97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4,0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100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4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1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18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0,7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22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0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9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left="113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79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3,3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78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2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Default="00EC45DB" w:rsidP="00DE476D">
            <w:pPr>
              <w:pStyle w:val="12"/>
              <w:suppressAutoHyphens/>
              <w:ind w:firstLine="142"/>
              <w:jc w:val="left"/>
              <w:rPr>
                <w:b/>
                <w:bCs/>
              </w:rPr>
            </w:pPr>
            <w:r w:rsidRPr="009B270F">
              <w:rPr>
                <w:b/>
                <w:bCs/>
              </w:rPr>
              <w:t>2.1.С государствами -</w:t>
            </w:r>
            <w:r>
              <w:rPr>
                <w:b/>
                <w:bCs/>
              </w:rPr>
              <w:t xml:space="preserve">   </w:t>
            </w:r>
          </w:p>
          <w:p w:rsidR="00EC45DB" w:rsidRPr="009B270F" w:rsidRDefault="00EC45DB" w:rsidP="00DE476D">
            <w:pPr>
              <w:pStyle w:val="12"/>
              <w:suppressAutoHyphens/>
              <w:ind w:firstLine="142"/>
              <w:jc w:val="left"/>
              <w:rPr>
                <w:b/>
                <w:bCs/>
              </w:rPr>
            </w:pPr>
            <w:r w:rsidRPr="009B270F">
              <w:rPr>
                <w:b/>
                <w:bCs/>
              </w:rPr>
              <w:t xml:space="preserve">участниками СНГ 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</w:p>
        </w:tc>
        <w:tc>
          <w:tcPr>
            <w:tcW w:w="853" w:type="pct"/>
          </w:tcPr>
          <w:p w:rsidR="00EC45DB" w:rsidRPr="009B270F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79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3,3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91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8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left="113" w:firstLine="29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0,3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19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0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8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71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72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0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Default="00EC45DB" w:rsidP="00DE476D">
            <w:pPr>
              <w:pStyle w:val="12"/>
              <w:suppressAutoHyphens/>
              <w:ind w:firstLine="142"/>
              <w:rPr>
                <w:b/>
                <w:bCs/>
              </w:rPr>
            </w:pPr>
            <w:r w:rsidRPr="009B270F">
              <w:rPr>
                <w:b/>
                <w:bCs/>
              </w:rPr>
              <w:t xml:space="preserve">2.2.С другими </w:t>
            </w:r>
          </w:p>
          <w:p w:rsidR="00EC45DB" w:rsidRPr="009B270F" w:rsidRDefault="00EC45DB" w:rsidP="00DE476D">
            <w:pPr>
              <w:pStyle w:val="12"/>
              <w:suppressAutoHyphens/>
              <w:ind w:firstLine="142"/>
              <w:rPr>
                <w:b/>
                <w:bCs/>
              </w:rPr>
            </w:pPr>
            <w:r w:rsidRPr="009B270F">
              <w:rPr>
                <w:b/>
                <w:bCs/>
              </w:rPr>
              <w:t>зарубежными странами</w:t>
            </w:r>
          </w:p>
        </w:tc>
        <w:tc>
          <w:tcPr>
            <w:tcW w:w="834" w:type="pct"/>
          </w:tcPr>
          <w:p w:rsidR="00EC45DB" w:rsidRPr="009B270F" w:rsidRDefault="00EC45DB" w:rsidP="00EC45DB">
            <w:pPr>
              <w:suppressAutoHyphens/>
              <w:ind w:left="-57" w:right="227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777" w:type="pct"/>
          </w:tcPr>
          <w:p w:rsidR="00EC45DB" w:rsidRPr="009B270F" w:rsidRDefault="00EC45DB" w:rsidP="00EC45DB">
            <w:pPr>
              <w:suppressAutoHyphens/>
              <w:ind w:left="-113" w:right="227"/>
              <w:jc w:val="center"/>
              <w:rPr>
                <w:rFonts w:eastAsia="Arial Unicode MS"/>
                <w:sz w:val="24"/>
              </w:rPr>
            </w:pPr>
          </w:p>
        </w:tc>
        <w:tc>
          <w:tcPr>
            <w:tcW w:w="853" w:type="pct"/>
          </w:tcPr>
          <w:p w:rsidR="00EC45DB" w:rsidRPr="009B270F" w:rsidRDefault="00EC45DB" w:rsidP="00EC45DB">
            <w:pPr>
              <w:suppressAutoHyphens/>
              <w:ind w:left="-113" w:right="227"/>
              <w:jc w:val="center"/>
              <w:rPr>
                <w:rFonts w:eastAsia="Arial Unicode MS"/>
                <w:sz w:val="24"/>
              </w:rPr>
            </w:pP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>Прибывшие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18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0,7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9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tabs>
                <w:tab w:val="left" w:pos="1168"/>
              </w:tabs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0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3</w:t>
            </w:r>
          </w:p>
        </w:tc>
      </w:tr>
      <w:tr w:rsidR="00EC45DB" w:rsidTr="00237293">
        <w:trPr>
          <w:trHeight w:val="312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>Выбывшие</w:t>
            </w:r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10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0,4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3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tabs>
                <w:tab w:val="left" w:pos="1168"/>
              </w:tabs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0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1</w:t>
            </w:r>
          </w:p>
        </w:tc>
      </w:tr>
      <w:tr w:rsidR="00EC45DB" w:rsidTr="00237293">
        <w:trPr>
          <w:trHeight w:val="283"/>
        </w:trPr>
        <w:tc>
          <w:tcPr>
            <w:tcW w:w="1605" w:type="pct"/>
          </w:tcPr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 xml:space="preserve">Миграционный </w:t>
            </w:r>
          </w:p>
          <w:p w:rsidR="00EC45DB" w:rsidRPr="009B270F" w:rsidRDefault="00EC45DB" w:rsidP="00DE476D">
            <w:pPr>
              <w:pStyle w:val="12"/>
              <w:suppressAutoHyphens/>
              <w:ind w:firstLine="142"/>
            </w:pPr>
            <w:r w:rsidRPr="009B270F">
              <w:t>прирост, снижение</w:t>
            </w:r>
            <w:proofErr w:type="gramStart"/>
            <w:r w:rsidRPr="009B270F">
              <w:t xml:space="preserve"> (-)</w:t>
            </w:r>
            <w:proofErr w:type="gramEnd"/>
          </w:p>
        </w:tc>
        <w:tc>
          <w:tcPr>
            <w:tcW w:w="834" w:type="pct"/>
          </w:tcPr>
          <w:p w:rsidR="00EC45DB" w:rsidRPr="00521172" w:rsidRDefault="00EC45DB" w:rsidP="00EC45DB">
            <w:pPr>
              <w:suppressAutoHyphens/>
              <w:ind w:left="-57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8</w:t>
            </w:r>
          </w:p>
        </w:tc>
        <w:tc>
          <w:tcPr>
            <w:tcW w:w="931" w:type="pct"/>
          </w:tcPr>
          <w:p w:rsidR="00EC45DB" w:rsidRPr="009B270F" w:rsidRDefault="00EC45DB" w:rsidP="00DE476D">
            <w:pPr>
              <w:suppressAutoHyphens/>
              <w:ind w:right="316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0,3</w:t>
            </w:r>
          </w:p>
        </w:tc>
        <w:tc>
          <w:tcPr>
            <w:tcW w:w="777" w:type="pct"/>
          </w:tcPr>
          <w:p w:rsidR="00EC45DB" w:rsidRPr="00AE3662" w:rsidRDefault="00EC45DB" w:rsidP="00EC45DB">
            <w:pPr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6</w:t>
            </w:r>
          </w:p>
        </w:tc>
        <w:tc>
          <w:tcPr>
            <w:tcW w:w="853" w:type="pct"/>
          </w:tcPr>
          <w:p w:rsidR="00EC45DB" w:rsidRPr="00E35B38" w:rsidRDefault="00EC45DB" w:rsidP="00EC45DB">
            <w:pPr>
              <w:tabs>
                <w:tab w:val="left" w:pos="1168"/>
              </w:tabs>
              <w:suppressAutoHyphens/>
              <w:ind w:left="-113" w:right="227"/>
              <w:jc w:val="right"/>
              <w:rPr>
                <w:rFonts w:eastAsia="Arial Unicode MS"/>
                <w:sz w:val="24"/>
                <w:lang w:val="en-US"/>
              </w:rPr>
            </w:pPr>
            <w:r>
              <w:rPr>
                <w:rFonts w:eastAsia="Arial Unicode MS"/>
                <w:sz w:val="24"/>
                <w:lang w:val="en-US"/>
              </w:rPr>
              <w:t>0</w:t>
            </w:r>
            <w:r>
              <w:rPr>
                <w:rFonts w:eastAsia="Arial Unicode MS"/>
                <w:sz w:val="24"/>
              </w:rPr>
              <w:t>,</w:t>
            </w:r>
            <w:r>
              <w:rPr>
                <w:rFonts w:eastAsia="Arial Unicode MS"/>
                <w:sz w:val="24"/>
                <w:lang w:val="en-US"/>
              </w:rPr>
              <w:t>2</w:t>
            </w:r>
          </w:p>
        </w:tc>
      </w:tr>
    </w:tbl>
    <w:p w:rsidR="006122D2" w:rsidRDefault="006122D2" w:rsidP="004C67DC">
      <w:pPr>
        <w:ind w:firstLine="0"/>
        <w:jc w:val="right"/>
        <w:rPr>
          <w:sz w:val="22"/>
          <w:szCs w:val="22"/>
          <w:lang w:val="en-US"/>
        </w:rPr>
      </w:pPr>
    </w:p>
    <w:p w:rsidR="00896FF6" w:rsidRPr="00586DA2" w:rsidRDefault="00896FF6" w:rsidP="004C67DC">
      <w:pPr>
        <w:ind w:firstLine="0"/>
        <w:jc w:val="right"/>
        <w:rPr>
          <w:sz w:val="22"/>
          <w:szCs w:val="22"/>
        </w:rPr>
      </w:pPr>
      <w:r w:rsidRPr="00586DA2">
        <w:rPr>
          <w:sz w:val="22"/>
          <w:szCs w:val="22"/>
        </w:rPr>
        <w:t xml:space="preserve">Пресс-центр </w:t>
      </w:r>
      <w:proofErr w:type="spellStart"/>
      <w:r w:rsidRPr="00586DA2">
        <w:rPr>
          <w:sz w:val="22"/>
          <w:szCs w:val="22"/>
        </w:rPr>
        <w:t>Бурятстата</w:t>
      </w:r>
      <w:proofErr w:type="spellEnd"/>
      <w:r w:rsidRPr="00586DA2">
        <w:rPr>
          <w:sz w:val="22"/>
          <w:szCs w:val="22"/>
        </w:rPr>
        <w:t xml:space="preserve">                                                                                                  </w:t>
      </w:r>
    </w:p>
    <w:p w:rsidR="00896FF6" w:rsidRDefault="00896FF6" w:rsidP="004C67DC">
      <w:pPr>
        <w:pStyle w:val="a3"/>
        <w:ind w:firstLine="720"/>
        <w:jc w:val="right"/>
        <w:rPr>
          <w:rFonts w:ascii="Calibri" w:hAnsi="Calibri"/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B67E15">
        <w:rPr>
          <w:sz w:val="22"/>
          <w:szCs w:val="22"/>
        </w:rPr>
        <w:t xml:space="preserve">тел. </w:t>
      </w:r>
      <w:r>
        <w:rPr>
          <w:sz w:val="22"/>
          <w:szCs w:val="22"/>
        </w:rPr>
        <w:t>22</w:t>
      </w:r>
      <w:r w:rsidR="00F62769">
        <w:rPr>
          <w:sz w:val="22"/>
          <w:szCs w:val="22"/>
        </w:rPr>
        <w:t>2</w:t>
      </w:r>
      <w:r>
        <w:rPr>
          <w:sz w:val="22"/>
          <w:szCs w:val="22"/>
        </w:rPr>
        <w:t>-</w:t>
      </w:r>
      <w:bookmarkEnd w:id="0"/>
      <w:bookmarkEnd w:id="1"/>
      <w:r w:rsidR="00F62769">
        <w:rPr>
          <w:sz w:val="22"/>
          <w:szCs w:val="22"/>
        </w:rPr>
        <w:t>412</w:t>
      </w:r>
    </w:p>
    <w:sectPr w:rsidR="00896FF6" w:rsidSect="00CB00DA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E1" w:rsidRDefault="00E336E1" w:rsidP="00CB00DA">
      <w:r>
        <w:separator/>
      </w:r>
    </w:p>
  </w:endnote>
  <w:endnote w:type="continuationSeparator" w:id="1">
    <w:p w:rsidR="00E336E1" w:rsidRDefault="00E336E1" w:rsidP="00CB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E1" w:rsidRDefault="00E336E1" w:rsidP="00CB00DA">
      <w:r>
        <w:separator/>
      </w:r>
    </w:p>
  </w:footnote>
  <w:footnote w:type="continuationSeparator" w:id="1">
    <w:p w:rsidR="00E336E1" w:rsidRDefault="00E336E1" w:rsidP="00CB0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4D0F"/>
    <w:multiLevelType w:val="hybridMultilevel"/>
    <w:tmpl w:val="130CEF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E785948"/>
    <w:multiLevelType w:val="hybridMultilevel"/>
    <w:tmpl w:val="D402DACC"/>
    <w:lvl w:ilvl="0" w:tplc="75187DE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8952E5"/>
    <w:multiLevelType w:val="hybridMultilevel"/>
    <w:tmpl w:val="CD7C98C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A4ADB68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F6"/>
    <w:rsid w:val="0001111A"/>
    <w:rsid w:val="00014FBA"/>
    <w:rsid w:val="00015CA1"/>
    <w:rsid w:val="00017461"/>
    <w:rsid w:val="00030C18"/>
    <w:rsid w:val="00033585"/>
    <w:rsid w:val="00041E73"/>
    <w:rsid w:val="00054E70"/>
    <w:rsid w:val="00062460"/>
    <w:rsid w:val="00062EAC"/>
    <w:rsid w:val="0006453C"/>
    <w:rsid w:val="00082DA8"/>
    <w:rsid w:val="00083CA3"/>
    <w:rsid w:val="00086117"/>
    <w:rsid w:val="00086CBE"/>
    <w:rsid w:val="000922ED"/>
    <w:rsid w:val="0009343A"/>
    <w:rsid w:val="000A247F"/>
    <w:rsid w:val="000B1241"/>
    <w:rsid w:val="000B134D"/>
    <w:rsid w:val="000C57A8"/>
    <w:rsid w:val="000D449D"/>
    <w:rsid w:val="000E207D"/>
    <w:rsid w:val="000E73C5"/>
    <w:rsid w:val="000F2BA9"/>
    <w:rsid w:val="000F7EB1"/>
    <w:rsid w:val="001047C4"/>
    <w:rsid w:val="0011416D"/>
    <w:rsid w:val="00152116"/>
    <w:rsid w:val="0016396F"/>
    <w:rsid w:val="0017164D"/>
    <w:rsid w:val="00197CC3"/>
    <w:rsid w:val="001A01C9"/>
    <w:rsid w:val="001A4C21"/>
    <w:rsid w:val="001B5048"/>
    <w:rsid w:val="001B7CD1"/>
    <w:rsid w:val="001C063A"/>
    <w:rsid w:val="001C1AE9"/>
    <w:rsid w:val="001D433F"/>
    <w:rsid w:val="001F07E7"/>
    <w:rsid w:val="00206F48"/>
    <w:rsid w:val="002159C2"/>
    <w:rsid w:val="002250AE"/>
    <w:rsid w:val="0022577D"/>
    <w:rsid w:val="0023602D"/>
    <w:rsid w:val="00237293"/>
    <w:rsid w:val="0023734B"/>
    <w:rsid w:val="00240830"/>
    <w:rsid w:val="00241456"/>
    <w:rsid w:val="00241521"/>
    <w:rsid w:val="00245300"/>
    <w:rsid w:val="00251531"/>
    <w:rsid w:val="00271707"/>
    <w:rsid w:val="002722C4"/>
    <w:rsid w:val="00273227"/>
    <w:rsid w:val="00275A14"/>
    <w:rsid w:val="00277813"/>
    <w:rsid w:val="00285E1E"/>
    <w:rsid w:val="002B0756"/>
    <w:rsid w:val="002B2601"/>
    <w:rsid w:val="002C6420"/>
    <w:rsid w:val="002D168C"/>
    <w:rsid w:val="002D749E"/>
    <w:rsid w:val="002E1142"/>
    <w:rsid w:val="002E2E80"/>
    <w:rsid w:val="002E4A50"/>
    <w:rsid w:val="002E5751"/>
    <w:rsid w:val="002F7094"/>
    <w:rsid w:val="00310A18"/>
    <w:rsid w:val="00313773"/>
    <w:rsid w:val="0033481C"/>
    <w:rsid w:val="003445FF"/>
    <w:rsid w:val="003454FB"/>
    <w:rsid w:val="00364DC7"/>
    <w:rsid w:val="00373E46"/>
    <w:rsid w:val="00383DBB"/>
    <w:rsid w:val="003A702A"/>
    <w:rsid w:val="003B4E9E"/>
    <w:rsid w:val="003C44A0"/>
    <w:rsid w:val="003F50DB"/>
    <w:rsid w:val="004136E6"/>
    <w:rsid w:val="00413F6E"/>
    <w:rsid w:val="004271B8"/>
    <w:rsid w:val="00432E28"/>
    <w:rsid w:val="00436457"/>
    <w:rsid w:val="00442B80"/>
    <w:rsid w:val="0044701A"/>
    <w:rsid w:val="00454FED"/>
    <w:rsid w:val="00456277"/>
    <w:rsid w:val="00476C23"/>
    <w:rsid w:val="00496AB2"/>
    <w:rsid w:val="004A04D0"/>
    <w:rsid w:val="004A73C9"/>
    <w:rsid w:val="004A7855"/>
    <w:rsid w:val="004B3066"/>
    <w:rsid w:val="004B5AF2"/>
    <w:rsid w:val="004C1F18"/>
    <w:rsid w:val="004C67DC"/>
    <w:rsid w:val="004D155A"/>
    <w:rsid w:val="004D34DD"/>
    <w:rsid w:val="004D46C2"/>
    <w:rsid w:val="004D74D7"/>
    <w:rsid w:val="004D75B5"/>
    <w:rsid w:val="004F15A2"/>
    <w:rsid w:val="004F718E"/>
    <w:rsid w:val="005010B7"/>
    <w:rsid w:val="00507A49"/>
    <w:rsid w:val="00511557"/>
    <w:rsid w:val="005179EF"/>
    <w:rsid w:val="00540B85"/>
    <w:rsid w:val="005422CB"/>
    <w:rsid w:val="0055458E"/>
    <w:rsid w:val="00572AC9"/>
    <w:rsid w:val="00573789"/>
    <w:rsid w:val="00590635"/>
    <w:rsid w:val="00591025"/>
    <w:rsid w:val="00592BE9"/>
    <w:rsid w:val="005A1227"/>
    <w:rsid w:val="005A2FF4"/>
    <w:rsid w:val="005B5889"/>
    <w:rsid w:val="005C4108"/>
    <w:rsid w:val="005D62E7"/>
    <w:rsid w:val="005E3148"/>
    <w:rsid w:val="005E4291"/>
    <w:rsid w:val="005E7397"/>
    <w:rsid w:val="005F4100"/>
    <w:rsid w:val="00600FFB"/>
    <w:rsid w:val="006074F4"/>
    <w:rsid w:val="006122D2"/>
    <w:rsid w:val="00626F3C"/>
    <w:rsid w:val="00630CB4"/>
    <w:rsid w:val="00633C4C"/>
    <w:rsid w:val="006372FB"/>
    <w:rsid w:val="00647980"/>
    <w:rsid w:val="00653C1A"/>
    <w:rsid w:val="0066097F"/>
    <w:rsid w:val="0069129E"/>
    <w:rsid w:val="00692DA0"/>
    <w:rsid w:val="006B1499"/>
    <w:rsid w:val="006E488C"/>
    <w:rsid w:val="006F0A21"/>
    <w:rsid w:val="007054B4"/>
    <w:rsid w:val="007177EC"/>
    <w:rsid w:val="00724348"/>
    <w:rsid w:val="00727783"/>
    <w:rsid w:val="00736FD6"/>
    <w:rsid w:val="00740A86"/>
    <w:rsid w:val="00754A62"/>
    <w:rsid w:val="00777831"/>
    <w:rsid w:val="007814FA"/>
    <w:rsid w:val="0078408C"/>
    <w:rsid w:val="007944AC"/>
    <w:rsid w:val="007A4197"/>
    <w:rsid w:val="007B36A2"/>
    <w:rsid w:val="007C784B"/>
    <w:rsid w:val="007D01C7"/>
    <w:rsid w:val="007D24B7"/>
    <w:rsid w:val="007D414F"/>
    <w:rsid w:val="007D4C0B"/>
    <w:rsid w:val="007D57C0"/>
    <w:rsid w:val="007D6249"/>
    <w:rsid w:val="007E07BA"/>
    <w:rsid w:val="007F471A"/>
    <w:rsid w:val="007F6E21"/>
    <w:rsid w:val="0080079F"/>
    <w:rsid w:val="00802BDC"/>
    <w:rsid w:val="00804B2A"/>
    <w:rsid w:val="008145E9"/>
    <w:rsid w:val="00816293"/>
    <w:rsid w:val="008169AA"/>
    <w:rsid w:val="0082294F"/>
    <w:rsid w:val="00823512"/>
    <w:rsid w:val="008302D8"/>
    <w:rsid w:val="00857971"/>
    <w:rsid w:val="00857B1A"/>
    <w:rsid w:val="00872208"/>
    <w:rsid w:val="00873909"/>
    <w:rsid w:val="008807F1"/>
    <w:rsid w:val="00886059"/>
    <w:rsid w:val="00896FF6"/>
    <w:rsid w:val="008A135E"/>
    <w:rsid w:val="008A61A5"/>
    <w:rsid w:val="008B07AF"/>
    <w:rsid w:val="008B1497"/>
    <w:rsid w:val="008B3572"/>
    <w:rsid w:val="008C0F36"/>
    <w:rsid w:val="008D2D8C"/>
    <w:rsid w:val="008D452B"/>
    <w:rsid w:val="008F1CA3"/>
    <w:rsid w:val="008F4BEB"/>
    <w:rsid w:val="0091462D"/>
    <w:rsid w:val="00916E76"/>
    <w:rsid w:val="0092132C"/>
    <w:rsid w:val="00923E8D"/>
    <w:rsid w:val="00925B86"/>
    <w:rsid w:val="00944AC8"/>
    <w:rsid w:val="00945A67"/>
    <w:rsid w:val="009469F3"/>
    <w:rsid w:val="009472F3"/>
    <w:rsid w:val="00952329"/>
    <w:rsid w:val="009542DE"/>
    <w:rsid w:val="009712EF"/>
    <w:rsid w:val="00971AA3"/>
    <w:rsid w:val="00973850"/>
    <w:rsid w:val="00974765"/>
    <w:rsid w:val="0098182E"/>
    <w:rsid w:val="009877C6"/>
    <w:rsid w:val="009900D7"/>
    <w:rsid w:val="009923F3"/>
    <w:rsid w:val="009977AE"/>
    <w:rsid w:val="009A24F0"/>
    <w:rsid w:val="009B2527"/>
    <w:rsid w:val="009C3D7F"/>
    <w:rsid w:val="009F595A"/>
    <w:rsid w:val="009F6BCC"/>
    <w:rsid w:val="00A02F2C"/>
    <w:rsid w:val="00A07032"/>
    <w:rsid w:val="00A1367C"/>
    <w:rsid w:val="00A15D7F"/>
    <w:rsid w:val="00A20CC0"/>
    <w:rsid w:val="00A21167"/>
    <w:rsid w:val="00A22F8A"/>
    <w:rsid w:val="00A3137C"/>
    <w:rsid w:val="00A31FDD"/>
    <w:rsid w:val="00A3754D"/>
    <w:rsid w:val="00A536B1"/>
    <w:rsid w:val="00A63902"/>
    <w:rsid w:val="00A821FF"/>
    <w:rsid w:val="00A84E97"/>
    <w:rsid w:val="00A8604F"/>
    <w:rsid w:val="00A93CFE"/>
    <w:rsid w:val="00AB3D7A"/>
    <w:rsid w:val="00AC4CCE"/>
    <w:rsid w:val="00AC5FFB"/>
    <w:rsid w:val="00AC6040"/>
    <w:rsid w:val="00AC682C"/>
    <w:rsid w:val="00AD5F0F"/>
    <w:rsid w:val="00AD65F6"/>
    <w:rsid w:val="00AE5172"/>
    <w:rsid w:val="00AF4EF1"/>
    <w:rsid w:val="00AF5FC9"/>
    <w:rsid w:val="00B24EE5"/>
    <w:rsid w:val="00B2553B"/>
    <w:rsid w:val="00B25CE1"/>
    <w:rsid w:val="00B30CD6"/>
    <w:rsid w:val="00B43325"/>
    <w:rsid w:val="00B52362"/>
    <w:rsid w:val="00B5689A"/>
    <w:rsid w:val="00B57A27"/>
    <w:rsid w:val="00B8175B"/>
    <w:rsid w:val="00B83F15"/>
    <w:rsid w:val="00B852C0"/>
    <w:rsid w:val="00B912B1"/>
    <w:rsid w:val="00BB19EA"/>
    <w:rsid w:val="00BB2AC5"/>
    <w:rsid w:val="00BB511E"/>
    <w:rsid w:val="00BC0343"/>
    <w:rsid w:val="00BC4660"/>
    <w:rsid w:val="00BC67F9"/>
    <w:rsid w:val="00BD02D5"/>
    <w:rsid w:val="00BD0D90"/>
    <w:rsid w:val="00BD1DAA"/>
    <w:rsid w:val="00BD4552"/>
    <w:rsid w:val="00C16530"/>
    <w:rsid w:val="00C17D0D"/>
    <w:rsid w:val="00C221C3"/>
    <w:rsid w:val="00C22ABB"/>
    <w:rsid w:val="00C23484"/>
    <w:rsid w:val="00C3693D"/>
    <w:rsid w:val="00C401D2"/>
    <w:rsid w:val="00C459E7"/>
    <w:rsid w:val="00C52A48"/>
    <w:rsid w:val="00C56CF1"/>
    <w:rsid w:val="00C62777"/>
    <w:rsid w:val="00C639DE"/>
    <w:rsid w:val="00C70502"/>
    <w:rsid w:val="00C8113F"/>
    <w:rsid w:val="00C90D2C"/>
    <w:rsid w:val="00C92A88"/>
    <w:rsid w:val="00C95AC4"/>
    <w:rsid w:val="00CA27B2"/>
    <w:rsid w:val="00CA2BD8"/>
    <w:rsid w:val="00CB00DA"/>
    <w:rsid w:val="00CC721A"/>
    <w:rsid w:val="00CE227A"/>
    <w:rsid w:val="00CE4AC2"/>
    <w:rsid w:val="00CF731D"/>
    <w:rsid w:val="00D065F5"/>
    <w:rsid w:val="00D126CA"/>
    <w:rsid w:val="00D16195"/>
    <w:rsid w:val="00D201E9"/>
    <w:rsid w:val="00D21682"/>
    <w:rsid w:val="00D33D1E"/>
    <w:rsid w:val="00D33EC6"/>
    <w:rsid w:val="00D369E9"/>
    <w:rsid w:val="00D40C3D"/>
    <w:rsid w:val="00D42819"/>
    <w:rsid w:val="00D6613C"/>
    <w:rsid w:val="00D870ED"/>
    <w:rsid w:val="00D979BD"/>
    <w:rsid w:val="00DA13F8"/>
    <w:rsid w:val="00DA35FE"/>
    <w:rsid w:val="00DB2588"/>
    <w:rsid w:val="00DB6696"/>
    <w:rsid w:val="00DB6CA6"/>
    <w:rsid w:val="00DD04BB"/>
    <w:rsid w:val="00DE08AF"/>
    <w:rsid w:val="00E01817"/>
    <w:rsid w:val="00E047B6"/>
    <w:rsid w:val="00E11138"/>
    <w:rsid w:val="00E21F8E"/>
    <w:rsid w:val="00E22615"/>
    <w:rsid w:val="00E2296B"/>
    <w:rsid w:val="00E336E1"/>
    <w:rsid w:val="00E4306F"/>
    <w:rsid w:val="00E43861"/>
    <w:rsid w:val="00E50BAE"/>
    <w:rsid w:val="00E50F19"/>
    <w:rsid w:val="00E534AA"/>
    <w:rsid w:val="00E70FE9"/>
    <w:rsid w:val="00E7646A"/>
    <w:rsid w:val="00E854B9"/>
    <w:rsid w:val="00E91936"/>
    <w:rsid w:val="00EC45DB"/>
    <w:rsid w:val="00EC7EC0"/>
    <w:rsid w:val="00EE3BB0"/>
    <w:rsid w:val="00EE79FF"/>
    <w:rsid w:val="00EF5F92"/>
    <w:rsid w:val="00F05C9C"/>
    <w:rsid w:val="00F07DEE"/>
    <w:rsid w:val="00F13F59"/>
    <w:rsid w:val="00F14931"/>
    <w:rsid w:val="00F17465"/>
    <w:rsid w:val="00F21B31"/>
    <w:rsid w:val="00F2304F"/>
    <w:rsid w:val="00F319E2"/>
    <w:rsid w:val="00F54442"/>
    <w:rsid w:val="00F62769"/>
    <w:rsid w:val="00F7634E"/>
    <w:rsid w:val="00F77EAC"/>
    <w:rsid w:val="00FA3C40"/>
    <w:rsid w:val="00FA62D3"/>
    <w:rsid w:val="00FB098D"/>
    <w:rsid w:val="00FD0D26"/>
    <w:rsid w:val="00FD2155"/>
    <w:rsid w:val="00FD4DB0"/>
    <w:rsid w:val="00FE753E"/>
    <w:rsid w:val="00F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FF6"/>
    <w:pPr>
      <w:keepNext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96FF6"/>
    <w:pPr>
      <w:keepNext/>
      <w:jc w:val="center"/>
      <w:outlineLvl w:val="1"/>
    </w:pPr>
    <w:rPr>
      <w:rFonts w:cs="Arial"/>
      <w:b/>
      <w:bCs/>
      <w:i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FF6"/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6FF6"/>
    <w:rPr>
      <w:rFonts w:ascii="Times New Roman" w:eastAsia="Times New Roman" w:hAnsi="Times New Roman" w:cs="Arial"/>
      <w:b/>
      <w:bCs/>
      <w:iCs/>
      <w:caps/>
      <w:sz w:val="28"/>
      <w:szCs w:val="28"/>
      <w:lang w:eastAsia="ru-RU"/>
    </w:rPr>
  </w:style>
  <w:style w:type="paragraph" w:styleId="a3">
    <w:name w:val="Body Text"/>
    <w:basedOn w:val="a"/>
    <w:link w:val="a4"/>
    <w:rsid w:val="00896FF6"/>
    <w:pPr>
      <w:ind w:firstLine="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96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96FF6"/>
    <w:rPr>
      <w:color w:val="0000FF"/>
      <w:u w:val="single"/>
    </w:rPr>
  </w:style>
  <w:style w:type="paragraph" w:customStyle="1" w:styleId="a6">
    <w:name w:val="a"/>
    <w:basedOn w:val="a"/>
    <w:rsid w:val="00896FF6"/>
    <w:pPr>
      <w:spacing w:before="240" w:after="240"/>
      <w:ind w:firstLine="0"/>
    </w:pPr>
    <w:rPr>
      <w:rFonts w:ascii="Franklin Gothic Book" w:hAnsi="Franklin Gothic Book"/>
      <w:sz w:val="22"/>
      <w:szCs w:val="22"/>
    </w:rPr>
  </w:style>
  <w:style w:type="paragraph" w:styleId="a7">
    <w:name w:val="List Paragraph"/>
    <w:basedOn w:val="a"/>
    <w:uiPriority w:val="34"/>
    <w:qFormat/>
    <w:rsid w:val="007177E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0A24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A2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2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0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B0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00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B0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00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6276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62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Таблица12"/>
    <w:basedOn w:val="a"/>
    <w:rsid w:val="00F62769"/>
    <w:pPr>
      <w:ind w:firstLine="0"/>
    </w:pPr>
    <w:rPr>
      <w:sz w:val="24"/>
    </w:rPr>
  </w:style>
  <w:style w:type="table" w:styleId="af0">
    <w:name w:val="Table Grid"/>
    <w:basedOn w:val="a1"/>
    <w:uiPriority w:val="59"/>
    <w:rsid w:val="00237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arimaB\express-inform\&#1101;&#1082;&#1089;&#1087;&#1088;&#1077;&#1089;&#1089;-&#1080;&#1085;&#1092;&#1086;&#1088;&#1084;&#1072;&#1094;&#1080;&#1103;\2012\4&#1082;&#1074;\&#1052;&#1048;&#1043;&#1056;&#1040;&#1062;&#1048;&#1071;%20&#1079;&#1072;&#1084;&#1077;&#1097;&#1077;&#1085;&#1080;&#1077;%20&#1075;&#1088;&#1072;&#1092;&#1080;&#1082;&#1077;%204&#1082;&#107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630016086698839"/>
          <c:y val="2.3351873259609891E-2"/>
          <c:w val="0.84458507330383426"/>
          <c:h val="0.66681480604398613"/>
        </c:manualLayout>
      </c:layout>
      <c:areaChart>
        <c:grouping val="standard"/>
        <c:ser>
          <c:idx val="0"/>
          <c:order val="0"/>
          <c:tx>
            <c:strRef>
              <c:f>'2006'!$B$7</c:f>
              <c:strCache>
                <c:ptCount val="1"/>
                <c:pt idx="0">
                  <c:v>выбыло</c:v>
                </c:pt>
              </c:strCache>
            </c:strRef>
          </c:tx>
          <c:spPr>
            <a:solidFill>
              <a:srgbClr val="FF6600"/>
            </a:solidFill>
          </c:spPr>
          <c:dLbls>
            <c:dLbl>
              <c:idx val="0"/>
              <c:layout>
                <c:manualLayout>
                  <c:x val="2.212230480535729E-2"/>
                  <c:y val="-0.14250246224133611"/>
                </c:manualLayout>
              </c:layout>
              <c:showVal val="1"/>
            </c:dLbl>
            <c:dLbl>
              <c:idx val="1"/>
              <c:layout>
                <c:manualLayout>
                  <c:x val="1.7589390111282866E-3"/>
                  <c:y val="-5.5493092832944291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1.7589390111282866E-3"/>
                  <c:y val="-0.15845304209272545"/>
                </c:manualLayout>
              </c:layout>
              <c:showVal val="1"/>
            </c:dLbl>
            <c:dLbl>
              <c:idx val="3"/>
              <c:layout>
                <c:manualLayout>
                  <c:x val="1.4194487371321576E-3"/>
                  <c:y val="-0.13654131151091423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0.1683160657549389"/>
                </c:manualLayout>
              </c:layout>
              <c:showVal val="1"/>
            </c:dLbl>
            <c:dLbl>
              <c:idx val="5"/>
              <c:layout>
                <c:manualLayout>
                  <c:x val="-3.3482226331207278E-3"/>
                  <c:y val="-0.12212815503325278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0.20662943447858492"/>
                </c:manualLayout>
              </c:layout>
              <c:showVal val="1"/>
            </c:dLbl>
            <c:dLbl>
              <c:idx val="7"/>
              <c:layout>
                <c:manualLayout>
                  <c:x val="1.7590149516270943E-3"/>
                  <c:y val="-0.15975476749616888"/>
                </c:manualLayout>
              </c:layout>
              <c:showVal val="1"/>
            </c:dLbl>
            <c:dLbl>
              <c:idx val="8"/>
              <c:layout>
                <c:manualLayout>
                  <c:x val="-5.7646298885536736E-3"/>
                  <c:y val="-0.1131855472879252"/>
                </c:manualLayout>
              </c:layout>
              <c:showVal val="1"/>
            </c:dLbl>
            <c:dLbl>
              <c:idx val="9"/>
              <c:layout>
                <c:manualLayout>
                  <c:x val="-1.5892076814936445E-3"/>
                  <c:y val="-0.23404942803202319"/>
                </c:manualLayout>
              </c:layout>
              <c:showVal val="1"/>
            </c:dLbl>
            <c:dLbl>
              <c:idx val="10"/>
              <c:layout>
                <c:manualLayout>
                  <c:x val="-1.7590149516270943E-3"/>
                  <c:y val="-0.17042606516290779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11"/>
              <c:layout>
                <c:manualLayout>
                  <c:x val="0"/>
                  <c:y val="-0.1216232181503627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0.22265164222893158"/>
                </c:manualLayout>
              </c:layout>
              <c:showVal val="1"/>
            </c:dLbl>
            <c:dLbl>
              <c:idx val="13"/>
              <c:layout>
                <c:manualLayout>
                  <c:x val="-1.5892076814936445E-3"/>
                  <c:y val="-0.23730007433281369"/>
                </c:manualLayout>
              </c:layout>
              <c:showVal val="1"/>
            </c:dLbl>
            <c:dLbl>
              <c:idx val="14"/>
              <c:layout>
                <c:manualLayout>
                  <c:x val="-3.6878371733876456E-3"/>
                  <c:y val="-0.18589281602957525"/>
                </c:manualLayout>
              </c:layout>
              <c:showVal val="1"/>
            </c:dLbl>
            <c:dLbl>
              <c:idx val="15"/>
              <c:layout>
                <c:manualLayout>
                  <c:x val="0"/>
                  <c:y val="-0.32276070754313607"/>
                </c:manualLayout>
              </c:layout>
              <c:showVal val="1"/>
            </c:dLbl>
            <c:dLbl>
              <c:idx val="16"/>
              <c:layout>
                <c:manualLayout>
                  <c:x val="4.767623044480934E-3"/>
                  <c:y val="-0.14895243357738305"/>
                </c:manualLayout>
              </c:layout>
              <c:showVal val="1"/>
            </c:dLbl>
            <c:dLbl>
              <c:idx val="17"/>
              <c:layout>
                <c:manualLayout>
                  <c:x val="4.1536863966770508E-3"/>
                  <c:y val="-7.9494041633794033E-2"/>
                </c:manualLayout>
              </c:layout>
              <c:showVal val="1"/>
            </c:dLbl>
            <c:dLbl>
              <c:idx val="18"/>
              <c:layout>
                <c:manualLayout>
                  <c:x val="-3.6878371733876456E-3"/>
                  <c:y val="-0.1397551621836744"/>
                </c:manualLayout>
              </c:layout>
              <c:showVal val="1"/>
            </c:dLbl>
            <c:dLbl>
              <c:idx val="19"/>
              <c:layout>
                <c:manualLayout>
                  <c:x val="0"/>
                  <c:y val="-0.20260125379064459"/>
                </c:manualLayout>
              </c:layout>
              <c:showVal val="1"/>
            </c:dLbl>
            <c:dLbl>
              <c:idx val="20"/>
              <c:layout>
                <c:manualLayout>
                  <c:x val="-1.6980727013345083E-4"/>
                  <c:y val="-0.16909333701708409"/>
                </c:manualLayout>
              </c:layout>
              <c:showVal val="1"/>
            </c:dLbl>
            <c:dLbl>
              <c:idx val="21"/>
              <c:layout>
                <c:manualLayout>
                  <c:x val="-1.7590149516270943E-3"/>
                  <c:y val="-8.0200501253132828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Val val="1"/>
            </c:dLbl>
            <c:dLbl>
              <c:idx val="22"/>
              <c:layout>
                <c:manualLayout>
                  <c:x val="0"/>
                  <c:y val="-0.14904330312185393"/>
                </c:manualLayout>
              </c:layout>
              <c:showVal val="1"/>
            </c:dLbl>
            <c:dLbl>
              <c:idx val="23"/>
              <c:layout>
                <c:manualLayout>
                  <c:x val="1.4194004113601895E-3"/>
                  <c:y val="-0.18511528164242752"/>
                </c:manualLayout>
              </c:layout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'2006'!$C$6:$Z$6</c:f>
              <c:strCache>
                <c:ptCount val="24"/>
                <c:pt idx="0">
                  <c:v>Республика Бурятия</c:v>
                </c:pt>
                <c:pt idx="1">
                  <c:v>г. Улан-Удэ</c:v>
                </c:pt>
                <c:pt idx="2">
                  <c:v>г. Северобайкальск</c:v>
                </c:pt>
                <c:pt idx="3">
                  <c:v>Баргузинский</c:v>
                </c:pt>
                <c:pt idx="4">
                  <c:v>Баунтовский</c:v>
                </c:pt>
                <c:pt idx="5">
                  <c:v>Бичурский</c:v>
                </c:pt>
                <c:pt idx="6">
                  <c:v>Джидинский</c:v>
                </c:pt>
                <c:pt idx="7">
                  <c:v>Еравнинский</c:v>
                </c:pt>
                <c:pt idx="8">
                  <c:v>Заиграевский</c:v>
                </c:pt>
                <c:pt idx="9">
                  <c:v>Закаменский</c:v>
                </c:pt>
                <c:pt idx="10">
                  <c:v>Иволгинский</c:v>
                </c:pt>
                <c:pt idx="11">
                  <c:v>Кабанский</c:v>
                </c:pt>
                <c:pt idx="12">
                  <c:v>Кижингинский</c:v>
                </c:pt>
                <c:pt idx="13">
                  <c:v>Курумканский</c:v>
                </c:pt>
                <c:pt idx="14">
                  <c:v>Кяхтинский</c:v>
                </c:pt>
                <c:pt idx="15">
                  <c:v>Муйский</c:v>
                </c:pt>
                <c:pt idx="16">
                  <c:v>Мухоршибирский</c:v>
                </c:pt>
                <c:pt idx="17">
                  <c:v>Окинский</c:v>
                </c:pt>
                <c:pt idx="18">
                  <c:v>Прибайкальский</c:v>
                </c:pt>
                <c:pt idx="19">
                  <c:v>Северо-Байкальский</c:v>
                </c:pt>
                <c:pt idx="20">
                  <c:v>Селенгинский</c:v>
                </c:pt>
                <c:pt idx="21">
                  <c:v>Тарбагатайский</c:v>
                </c:pt>
                <c:pt idx="22">
                  <c:v>Тункинский</c:v>
                </c:pt>
                <c:pt idx="23">
                  <c:v>Хоринский</c:v>
                </c:pt>
              </c:strCache>
            </c:strRef>
          </c:cat>
          <c:val>
            <c:numRef>
              <c:f>'2006'!$C$7:$Z$7</c:f>
              <c:numCache>
                <c:formatCode>General</c:formatCode>
                <c:ptCount val="24"/>
                <c:pt idx="0">
                  <c:v>35.9</c:v>
                </c:pt>
                <c:pt idx="1">
                  <c:v>26.2</c:v>
                </c:pt>
                <c:pt idx="2">
                  <c:v>37.6</c:v>
                </c:pt>
                <c:pt idx="3">
                  <c:v>36.6</c:v>
                </c:pt>
                <c:pt idx="4">
                  <c:v>43.8</c:v>
                </c:pt>
                <c:pt idx="5">
                  <c:v>32.1</c:v>
                </c:pt>
                <c:pt idx="6">
                  <c:v>50.2</c:v>
                </c:pt>
                <c:pt idx="7" formatCode="0.0">
                  <c:v>40.300000000000004</c:v>
                </c:pt>
                <c:pt idx="8">
                  <c:v>33.300000000000004</c:v>
                </c:pt>
                <c:pt idx="9">
                  <c:v>61.5</c:v>
                </c:pt>
                <c:pt idx="10">
                  <c:v>49.6</c:v>
                </c:pt>
                <c:pt idx="11">
                  <c:v>32.1</c:v>
                </c:pt>
                <c:pt idx="12">
                  <c:v>57.3</c:v>
                </c:pt>
                <c:pt idx="13">
                  <c:v>65.900000000000006</c:v>
                </c:pt>
                <c:pt idx="14">
                  <c:v>45.3</c:v>
                </c:pt>
                <c:pt idx="15" formatCode="0.0">
                  <c:v>92.9</c:v>
                </c:pt>
                <c:pt idx="16">
                  <c:v>41.4</c:v>
                </c:pt>
                <c:pt idx="17">
                  <c:v>26.2</c:v>
                </c:pt>
                <c:pt idx="18">
                  <c:v>34.300000000000004</c:v>
                </c:pt>
                <c:pt idx="19">
                  <c:v>50.4</c:v>
                </c:pt>
                <c:pt idx="20">
                  <c:v>46.2</c:v>
                </c:pt>
                <c:pt idx="21">
                  <c:v>28.5</c:v>
                </c:pt>
                <c:pt idx="22">
                  <c:v>35.6</c:v>
                </c:pt>
                <c:pt idx="23" formatCode="0.0">
                  <c:v>49.4</c:v>
                </c:pt>
              </c:numCache>
            </c:numRef>
          </c:val>
        </c:ser>
        <c:ser>
          <c:idx val="1"/>
          <c:order val="1"/>
          <c:tx>
            <c:strRef>
              <c:f>'2006'!$B$8</c:f>
              <c:strCache>
                <c:ptCount val="1"/>
                <c:pt idx="0">
                  <c:v>прибыло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  <a:ln w="25400">
              <a:noFill/>
            </a:ln>
          </c:spPr>
          <c:dLbls>
            <c:dLbl>
              <c:idx val="0"/>
              <c:layout>
                <c:manualLayout>
                  <c:x val="1.8330182341983057E-2"/>
                  <c:y val="-9.9836730934948964E-2"/>
                </c:manualLayout>
              </c:layout>
              <c:showVal val="1"/>
            </c:dLbl>
            <c:dLbl>
              <c:idx val="1"/>
              <c:layout>
                <c:manualLayout>
                  <c:x val="5.2768170333848735E-3"/>
                  <c:y val="-7.8018243790253128E-2"/>
                </c:manualLayout>
              </c:layout>
              <c:showVal val="1"/>
            </c:dLbl>
            <c:dLbl>
              <c:idx val="2"/>
              <c:layout>
                <c:manualLayout>
                  <c:x val="1.5891938741302242E-3"/>
                  <c:y val="-0.10690180426857269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4.2448524975635539E-2"/>
                </c:manualLayout>
              </c:layout>
              <c:showVal val="1"/>
            </c:dLbl>
            <c:dLbl>
              <c:idx val="4"/>
              <c:layout>
                <c:manualLayout>
                  <c:x val="-1.7590149516270943E-3"/>
                  <c:y val="-5.424427209756678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4880639920010038E-2"/>
                </c:manualLayout>
              </c:layout>
              <c:showVal val="1"/>
            </c:dLbl>
            <c:dLbl>
              <c:idx val="6"/>
              <c:layout>
                <c:manualLayout>
                  <c:x val="-1.5891934843067237E-3"/>
                  <c:y val="-4.8338368580060347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6.4360639130635444E-2"/>
                </c:manualLayout>
              </c:layout>
              <c:showVal val="1"/>
            </c:dLbl>
            <c:dLbl>
              <c:idx val="8"/>
              <c:delete val="1"/>
            </c:dLbl>
            <c:dLbl>
              <c:idx val="9"/>
              <c:layout>
                <c:manualLayout>
                  <c:x val="2.0768431983385228E-3"/>
                  <c:y val="-0.15422922822270024"/>
                </c:manualLayout>
              </c:layout>
              <c:showVal val="1"/>
            </c:dLbl>
            <c:dLbl>
              <c:idx val="10"/>
              <c:layout>
                <c:manualLayout>
                  <c:x val="-1.4629479726249205E-3"/>
                  <c:y val="-0.2747325051952003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-7.2507552870090766E-2"/>
                </c:manualLayout>
              </c:layout>
              <c:showVal val="1"/>
            </c:dLbl>
            <c:dLbl>
              <c:idx val="12"/>
              <c:layout>
                <c:manualLayout>
                  <c:x val="3.5180299032541791E-3"/>
                  <c:y val="-0.11920036311250569"/>
                </c:manualLayout>
              </c:layout>
              <c:showVal val="1"/>
            </c:dLbl>
            <c:dLbl>
              <c:idx val="13"/>
              <c:layout>
                <c:manualLayout>
                  <c:x val="1.5892076814936445E-3"/>
                  <c:y val="-0.13068919016701874"/>
                </c:manualLayout>
              </c:layout>
              <c:showVal val="1"/>
            </c:dLbl>
            <c:dLbl>
              <c:idx val="14"/>
              <c:layout>
                <c:manualLayout>
                  <c:x val="5.2770448548812784E-3"/>
                  <c:y val="-9.6677125885580306E-2"/>
                </c:manualLayout>
              </c:layout>
              <c:showVal val="1"/>
            </c:dLbl>
            <c:dLbl>
              <c:idx val="15"/>
              <c:layout>
                <c:manualLayout>
                  <c:x val="0"/>
                  <c:y val="-7.2019141025839478E-2"/>
                </c:manualLayout>
              </c:layout>
              <c:showVal val="1"/>
            </c:dLbl>
            <c:dLbl>
              <c:idx val="16"/>
              <c:layout>
                <c:manualLayout>
                  <c:x val="3.5180415532170711E-3"/>
                  <c:y val="-9.6409716958268193E-2"/>
                </c:manualLayout>
              </c:layout>
              <c:showVal val="1"/>
            </c:dLbl>
            <c:dLbl>
              <c:idx val="17"/>
              <c:layout>
                <c:manualLayout>
                  <c:x val="5.2770448548812784E-3"/>
                  <c:y val="-3.5476354929318096E-2"/>
                </c:manualLayout>
              </c:layout>
              <c:showVal val="1"/>
            </c:dLbl>
            <c:dLbl>
              <c:idx val="18"/>
              <c:layout>
                <c:manualLayout>
                  <c:x val="5.9345385565122118E-3"/>
                  <c:y val="-9.292328635737819E-2"/>
                </c:manualLayout>
              </c:layout>
              <c:showVal val="1"/>
            </c:dLbl>
            <c:dLbl>
              <c:idx val="19"/>
              <c:layout>
                <c:manualLayout>
                  <c:x val="4.6413357208853574E-3"/>
                  <c:y val="-5.5975331177905333E-2"/>
                </c:manualLayout>
              </c:layout>
              <c:showVal val="1"/>
            </c:dLbl>
            <c:dLbl>
              <c:idx val="20"/>
              <c:layout>
                <c:manualLayout>
                  <c:x val="0"/>
                  <c:y val="-4.0281973816717033E-2"/>
                </c:manualLayout>
              </c:layout>
              <c:showVal val="1"/>
            </c:dLbl>
            <c:dLbl>
              <c:idx val="21"/>
              <c:layout>
                <c:manualLayout>
                  <c:x val="1.7590149516270943E-3"/>
                  <c:y val="-0.24064202501003171"/>
                </c:manualLayout>
              </c:layout>
              <c:showVal val="1"/>
            </c:dLbl>
            <c:dLbl>
              <c:idx val="22"/>
              <c:layout>
                <c:manualLayout>
                  <c:x val="0"/>
                  <c:y val="-3.6253776435045362E-2"/>
                </c:manualLayout>
              </c:layout>
              <c:showVal val="1"/>
            </c:dLbl>
            <c:dLbl>
              <c:idx val="23"/>
              <c:layout>
                <c:manualLayout>
                  <c:x val="0"/>
                  <c:y val="-9.4745809033203288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'2006'!$C$6:$Z$6</c:f>
              <c:strCache>
                <c:ptCount val="24"/>
                <c:pt idx="0">
                  <c:v>Республика Бурятия</c:v>
                </c:pt>
                <c:pt idx="1">
                  <c:v>г. Улан-Удэ</c:v>
                </c:pt>
                <c:pt idx="2">
                  <c:v>г. Северобайкальск</c:v>
                </c:pt>
                <c:pt idx="3">
                  <c:v>Баргузинский</c:v>
                </c:pt>
                <c:pt idx="4">
                  <c:v>Баунтовский</c:v>
                </c:pt>
                <c:pt idx="5">
                  <c:v>Бичурский</c:v>
                </c:pt>
                <c:pt idx="6">
                  <c:v>Джидинский</c:v>
                </c:pt>
                <c:pt idx="7">
                  <c:v>Еравнинский</c:v>
                </c:pt>
                <c:pt idx="8">
                  <c:v>Заиграевский</c:v>
                </c:pt>
                <c:pt idx="9">
                  <c:v>Закаменский</c:v>
                </c:pt>
                <c:pt idx="10">
                  <c:v>Иволгинский</c:v>
                </c:pt>
                <c:pt idx="11">
                  <c:v>Кабанский</c:v>
                </c:pt>
                <c:pt idx="12">
                  <c:v>Кижингинский</c:v>
                </c:pt>
                <c:pt idx="13">
                  <c:v>Курумканский</c:v>
                </c:pt>
                <c:pt idx="14">
                  <c:v>Кяхтинский</c:v>
                </c:pt>
                <c:pt idx="15">
                  <c:v>Муйский</c:v>
                </c:pt>
                <c:pt idx="16">
                  <c:v>Мухоршибирский</c:v>
                </c:pt>
                <c:pt idx="17">
                  <c:v>Окинский</c:v>
                </c:pt>
                <c:pt idx="18">
                  <c:v>Прибайкальский</c:v>
                </c:pt>
                <c:pt idx="19">
                  <c:v>Северо-Байкальский</c:v>
                </c:pt>
                <c:pt idx="20">
                  <c:v>Селенгинский</c:v>
                </c:pt>
                <c:pt idx="21">
                  <c:v>Тарбагатайский</c:v>
                </c:pt>
                <c:pt idx="22">
                  <c:v>Тункинский</c:v>
                </c:pt>
                <c:pt idx="23">
                  <c:v>Хоринский</c:v>
                </c:pt>
              </c:strCache>
            </c:strRef>
          </c:cat>
          <c:val>
            <c:numRef>
              <c:f>'2006'!$C$8:$Z$8</c:f>
              <c:numCache>
                <c:formatCode>General</c:formatCode>
                <c:ptCount val="24"/>
                <c:pt idx="0">
                  <c:v>33.300000000000004</c:v>
                </c:pt>
                <c:pt idx="1">
                  <c:v>32.700000000000003</c:v>
                </c:pt>
                <c:pt idx="2">
                  <c:v>35.1</c:v>
                </c:pt>
                <c:pt idx="3">
                  <c:v>22</c:v>
                </c:pt>
                <c:pt idx="4">
                  <c:v>27.9</c:v>
                </c:pt>
                <c:pt idx="5">
                  <c:v>17.100000000000001</c:v>
                </c:pt>
                <c:pt idx="6">
                  <c:v>18.600000000000001</c:v>
                </c:pt>
                <c:pt idx="7">
                  <c:v>20.399999999999999</c:v>
                </c:pt>
                <c:pt idx="8">
                  <c:v>33.4</c:v>
                </c:pt>
                <c:pt idx="9">
                  <c:v>44.2</c:v>
                </c:pt>
                <c:pt idx="10">
                  <c:v>75.7</c:v>
                </c:pt>
                <c:pt idx="11">
                  <c:v>28.2</c:v>
                </c:pt>
                <c:pt idx="12">
                  <c:v>43</c:v>
                </c:pt>
                <c:pt idx="13">
                  <c:v>43.9</c:v>
                </c:pt>
                <c:pt idx="14">
                  <c:v>34.1</c:v>
                </c:pt>
                <c:pt idx="15">
                  <c:v>30.7</c:v>
                </c:pt>
                <c:pt idx="16">
                  <c:v>31.9</c:v>
                </c:pt>
                <c:pt idx="17">
                  <c:v>21</c:v>
                </c:pt>
                <c:pt idx="18">
                  <c:v>30.2</c:v>
                </c:pt>
                <c:pt idx="19">
                  <c:v>31.1</c:v>
                </c:pt>
                <c:pt idx="20">
                  <c:v>24.1</c:v>
                </c:pt>
                <c:pt idx="21">
                  <c:v>67.900000000000006</c:v>
                </c:pt>
                <c:pt idx="22">
                  <c:v>16.3</c:v>
                </c:pt>
                <c:pt idx="23">
                  <c:v>29.7</c:v>
                </c:pt>
              </c:numCache>
            </c:numRef>
          </c:val>
        </c:ser>
        <c:dropLines>
          <c:spPr>
            <a:ln>
              <a:solidFill>
                <a:srgbClr val="4F81BD">
                  <a:lumMod val="20000"/>
                  <a:lumOff val="80000"/>
                </a:srgbClr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</c:dropLines>
        <c:axId val="42064128"/>
        <c:axId val="42528768"/>
      </c:areaChart>
      <c:catAx>
        <c:axId val="4206412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528768"/>
        <c:crosses val="autoZero"/>
        <c:auto val="1"/>
        <c:lblAlgn val="ctr"/>
        <c:lblOffset val="100"/>
      </c:catAx>
      <c:valAx>
        <c:axId val="4252876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человек на 1000 населения</a:t>
                </a:r>
              </a:p>
            </c:rich>
          </c:tx>
          <c:layout>
            <c:manualLayout>
              <c:xMode val="edge"/>
              <c:yMode val="edge"/>
              <c:x val="4.7182182702096398E-2"/>
              <c:y val="6.1016846578388233E-2"/>
            </c:manualLayout>
          </c:layout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2064128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1949092811996738"/>
          <c:y val="0.87860753162239924"/>
          <c:w val="0.2632892194544284"/>
          <c:h val="7.2741696761589036E-2"/>
        </c:manualLayout>
      </c:layout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0.2581</cdr:x>
      <cdr:y>0.12574</cdr:y>
    </cdr:from>
    <cdr:to>
      <cdr:x>0.44292</cdr:x>
      <cdr:y>0.17412</cdr:y>
    </cdr:to>
    <cdr:sp macro="" textlink="">
      <cdr:nvSpPr>
        <cdr:cNvPr id="2" name="Прямоугольная выноска 1"/>
        <cdr:cNvSpPr/>
      </cdr:nvSpPr>
      <cdr:spPr bwMode="auto">
        <a:xfrm xmlns:a="http://schemas.openxmlformats.org/drawingml/2006/main">
          <a:off x="1578295" y="609600"/>
          <a:ext cx="1130183" cy="234557"/>
        </a:xfrm>
        <a:prstGeom xmlns:a="http://schemas.openxmlformats.org/drawingml/2006/main" prst="wedgeRectCallout">
          <a:avLst>
            <a:gd name="adj1" fmla="val 58496"/>
            <a:gd name="adj2" fmla="val 341928"/>
          </a:avLst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pPr algn="ctr" rtl="0"/>
          <a:r>
            <a:rPr lang="ru-RU" sz="1000" b="0" i="1">
              <a:latin typeface="Times New Roman" pitchFamily="18" charset="0"/>
              <a:ea typeface="+mn-ea"/>
              <a:cs typeface="Times New Roman" pitchFamily="18" charset="0"/>
            </a:rPr>
            <a:t>число выбывших</a:t>
          </a:r>
          <a:endParaRPr lang="ru-RU" sz="1000" b="0" i="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0.47047</cdr:x>
      <cdr:y>0.61722</cdr:y>
    </cdr:from>
    <cdr:to>
      <cdr:x>0.65772</cdr:x>
      <cdr:y>0.66114</cdr:y>
    </cdr:to>
    <cdr:sp macro="" textlink="">
      <cdr:nvSpPr>
        <cdr:cNvPr id="3" name="Прямоугольная выноска 2"/>
        <cdr:cNvSpPr/>
      </cdr:nvSpPr>
      <cdr:spPr bwMode="auto">
        <a:xfrm xmlns:a="http://schemas.openxmlformats.org/drawingml/2006/main">
          <a:off x="2876941" y="2992399"/>
          <a:ext cx="1145043" cy="212934"/>
        </a:xfrm>
        <a:prstGeom xmlns:a="http://schemas.openxmlformats.org/drawingml/2006/main" prst="wedgeRectCallout">
          <a:avLst>
            <a:gd name="adj1" fmla="val 50066"/>
            <a:gd name="adj2" fmla="val -323010"/>
          </a:avLst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pPr algn="ctr" rtl="0"/>
          <a:r>
            <a:rPr lang="ru-RU" sz="1000" b="0" i="1">
              <a:latin typeface="Times New Roman" pitchFamily="18" charset="0"/>
              <a:ea typeface="+mn-ea"/>
              <a:cs typeface="Times New Roman" pitchFamily="18" charset="0"/>
            </a:rPr>
            <a:t>число прибывших</a:t>
          </a:r>
          <a:endParaRPr lang="ru-RU" sz="1000" b="0" i="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6A68-F467-4B59-AF09-81F4FB1A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TYabzhanova</dc:creator>
  <cp:keywords/>
  <dc:description/>
  <cp:lastModifiedBy>Науменко Людмила Васильевна</cp:lastModifiedBy>
  <cp:revision>2</cp:revision>
  <cp:lastPrinted>2013-05-30T05:56:00Z</cp:lastPrinted>
  <dcterms:created xsi:type="dcterms:W3CDTF">2018-12-24T06:23:00Z</dcterms:created>
  <dcterms:modified xsi:type="dcterms:W3CDTF">2018-12-24T06:23:00Z</dcterms:modified>
</cp:coreProperties>
</file>